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7867</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cs="Courier New"/>
          <w:sz w:val="24"/>
          <w:szCs w:val="24"/>
          <w:lang w:val="es-MX"/>
        </w:rPr>
      </w:pPr>
      <w:r>
        <w:rPr>
          <w:rFonts w:ascii="Courier New" w:hAnsi="Courier New" w:cs="Courier New"/>
          <w:sz w:val="24"/>
          <w:szCs w:val="24"/>
          <w:lang w:val="es-MX"/>
        </w:rPr>
        <w:t xml:space="preserve">Vistos: El Expediente Nº 575/I/07 </w:t>
      </w:r>
      <w:r>
        <w:rPr>
          <w:rFonts w:ascii="Courier New" w:hAnsi="Courier New" w:cs="Courier New"/>
          <w:sz w:val="24"/>
          <w:szCs w:val="24"/>
        </w:rPr>
        <w:t>y nota presentada por la Sra. Alba Selva Martínez en representación de la titular del inmueble designación catastral 1-01-181-032-000, en la que solicita regularizar la deuda de tasa por servicios a la propiedad mediante un Plan de Pagos</w:t>
      </w:r>
      <w:r>
        <w:rPr>
          <w:rFonts w:ascii="Courier New" w:hAnsi="Courier New" w:cs="Courier New"/>
          <w:sz w:val="24"/>
          <w:szCs w:val="24"/>
          <w:lang w:val="es-MX"/>
        </w:rPr>
        <w:t>;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cs="Courier New"/>
        </w:rPr>
      </w:pPr>
      <w:r>
        <w:rPr>
          <w:rFonts w:ascii="Courier New" w:hAnsi="Courier New" w:cs="Courier New"/>
        </w:rPr>
        <w:t>Que la titular del inmueble es una persona de avanzada edad y con problemas de salud de acuerdo al informe socioeconómico y reside en un lugar para adultos mayores;</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la solicitante se presentó ante los miembros de la Comisión de Hacienda a fin de exponer lo solicitado y proponer una cuota accesible de un Plan de Pagos por la deuda de Tasa por Servicios a la Propiedad de la designación catastral mencionada en el visto;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parte de la deuda está en juicio;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evaluado el contenido del Expediente mencionado por Comisión de Hacienda, la misma emite despacho en el marco de las Ordenanzas vigentes, despacho aprobado por unanimidad en Sesión Ordinaria de fecha 18 de Octubre de 2007.</w:t>
      </w:r>
    </w:p>
    <w:p>
      <w:pPr>
        <w:pStyle w:val="P3"/>
        <w:jc w:val="center"/>
        <w:rPr>
          <w:rFonts w:ascii="Courier New" w:hAnsi="Courier New"/>
          <w:b w:val="1"/>
          <w:bCs w:val="1"/>
        </w:rPr>
      </w:pPr>
    </w:p>
    <w:p>
      <w:pPr>
        <w:pStyle w:val="P3"/>
        <w:jc w:val="center"/>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cs="Courier New"/>
        </w:rPr>
      </w:pPr>
      <w:r>
        <w:rPr>
          <w:rFonts w:ascii="Courier New" w:hAnsi="Courier New" w:cs="Courier New"/>
          <w:b w:val="1"/>
          <w:bCs w:val="1"/>
          <w:u w:val="single"/>
        </w:rPr>
        <w:t>Art.1</w:t>
      </w:r>
      <w:r>
        <w:rPr>
          <w:rFonts w:ascii="Courier New" w:hAnsi="Courier New" w:cs="Courier New"/>
          <w:b w:val="1"/>
          <w:bCs w:val="1"/>
        </w:rPr>
        <w:t xml:space="preserve">: </w:t>
      </w:r>
      <w:r>
        <w:rPr>
          <w:rFonts w:ascii="Courier New" w:hAnsi="Courier New" w:cs="Courier New"/>
          <w:b w:val="1"/>
          <w:bCs w:val="1"/>
        </w:rPr>
        <w:t>AUTORÍZASE</w:t>
      </w:r>
      <w:r>
        <w:rPr>
          <w:rFonts w:ascii="Courier New" w:hAnsi="Courier New" w:cs="Courier New"/>
        </w:rPr>
        <w:t xml:space="preserve"> al Departamento Ejecutivo a realizar un Plan de Pagos por la deuda que mantiene la designación catastral 1-01-181-032-000 en concepto de Tasa por Servicios a la Propiedad con cuotas mensuales de sesenta pesos ($60.-).</w:t>
      </w:r>
    </w:p>
    <w:p>
      <w:pPr>
        <w:pStyle w:val="P3"/>
        <w:ind w:hanging="709" w:left="709"/>
        <w:jc w:val="right"/>
        <w:rPr>
          <w:rFonts w:ascii="Courier New" w:hAnsi="Courier New" w:cs="Courier New"/>
        </w:rPr>
      </w:pPr>
    </w:p>
    <w:p>
      <w:pPr>
        <w:pStyle w:val="P3"/>
        <w:ind w:hanging="709" w:left="709"/>
        <w:jc w:val="right"/>
        <w:rPr>
          <w:rFonts w:ascii="Courier New" w:hAnsi="Courier New" w:cs="Courier New"/>
        </w:rPr>
      </w:pPr>
      <w:r>
        <w:rPr>
          <w:rFonts w:ascii="Courier New" w:hAnsi="Courier New" w:cs="Courier New"/>
        </w:rPr>
        <w:t>...///</w:t>
      </w:r>
    </w:p>
    <w:p>
      <w:pPr>
        <w:pStyle w:val="P3"/>
        <w:ind w:hanging="709" w:left="709"/>
        <w:jc w:val="both"/>
        <w:rPr>
          <w:rFonts w:ascii="Courier New" w:hAnsi="Courier New" w:cs="Courier New"/>
        </w:rPr>
      </w:pPr>
    </w:p>
    <w:p>
      <w:pPr>
        <w:pStyle w:val="P3"/>
        <w:ind w:hanging="709" w:left="709"/>
        <w:jc w:val="both"/>
        <w:rPr>
          <w:rFonts w:ascii="Courier New" w:hAnsi="Courier New" w:cs="Courier New"/>
        </w:rPr>
      </w:pPr>
    </w:p>
    <w:p>
      <w:pPr>
        <w:pStyle w:val="P3"/>
        <w:ind w:hanging="709" w:left="709"/>
        <w:jc w:val="both"/>
        <w:rPr>
          <w:rFonts w:ascii="Courier New" w:hAnsi="Courier New" w:cs="Courier New"/>
        </w:rPr>
      </w:pPr>
    </w:p>
    <w:p>
      <w:pPr>
        <w:pStyle w:val="P3"/>
        <w:ind w:hanging="709" w:left="709"/>
        <w:jc w:val="both"/>
        <w:rPr>
          <w:rFonts w:ascii="Courier New" w:hAnsi="Courier New" w:cs="Courier New"/>
        </w:rPr>
      </w:pPr>
    </w:p>
    <w:p>
      <w:pPr>
        <w:pStyle w:val="P3"/>
        <w:ind w:hanging="709" w:left="709"/>
        <w:jc w:val="both"/>
        <w:rPr>
          <w:rFonts w:ascii="Courier New" w:hAnsi="Courier New" w:cs="Courier New"/>
        </w:rPr>
      </w:pPr>
    </w:p>
    <w:p>
      <w:pPr>
        <w:pStyle w:val="P3"/>
        <w:ind w:hanging="709" w:left="709"/>
        <w:jc w:val="both"/>
        <w:rPr>
          <w:rFonts w:ascii="Courier New" w:hAnsi="Courier New" w:cs="Courier New"/>
        </w:rPr>
      </w:pPr>
    </w:p>
    <w:p>
      <w:pPr>
        <w:pStyle w:val="P3"/>
        <w:ind w:hanging="709" w:left="709"/>
        <w:jc w:val="both"/>
        <w:rPr>
          <w:rFonts w:ascii="Courier New" w:hAnsi="Courier New" w:cs="Courier New"/>
        </w:rPr>
      </w:pPr>
    </w:p>
    <w:p>
      <w:pPr>
        <w:pStyle w:val="P3"/>
        <w:ind w:hanging="709" w:left="709"/>
        <w:jc w:val="both"/>
        <w:rPr>
          <w:rFonts w:ascii="Courier New" w:hAnsi="Courier New" w:cs="Courier New"/>
        </w:rPr>
      </w:pPr>
      <w:r>
        <w:rPr>
          <w:rFonts w:ascii="Courier New" w:hAnsi="Courier New" w:cs="Courier New"/>
        </w:rPr>
        <w:t>...///2.-</w:t>
      </w:r>
    </w:p>
    <w:p>
      <w:pPr>
        <w:pStyle w:val="P3"/>
        <w:ind w:hanging="709" w:left="709"/>
        <w:jc w:val="both"/>
        <w:rPr>
          <w:rFonts w:ascii="Courier New" w:hAnsi="Courier New" w:cs="Courier New"/>
        </w:rPr>
      </w:pPr>
    </w:p>
    <w:p>
      <w:pPr>
        <w:pStyle w:val="P5"/>
        <w:ind w:hanging="709" w:left="709"/>
        <w:jc w:val="both"/>
        <w:rPr>
          <w:rFonts w:cs="Times New Roman"/>
          <w:b w:val="1"/>
          <w:bCs w:val="1"/>
        </w:rPr>
      </w:pPr>
      <w:r>
        <w:rPr>
          <w:rFonts w:cs="Times New Roman"/>
          <w:b w:val="1"/>
          <w:bCs w:val="1"/>
          <w:sz w:val="24"/>
          <w:szCs w:val="24"/>
          <w:u w:val="single"/>
        </w:rPr>
        <w:t>Art.2</w:t>
      </w:r>
      <w:r>
        <w:rPr>
          <w:rFonts w:cs="Times New Roman"/>
          <w:b w:val="1"/>
          <w:bCs w:val="1"/>
          <w:sz w:val="24"/>
          <w:szCs w:val="24"/>
        </w:rPr>
        <w:t>:</w:t>
      </w:r>
      <w:r>
        <w:rPr>
          <w:rFonts w:cs="Times New Roman"/>
          <w:b w:val="1"/>
          <w:bCs w:val="1"/>
        </w:rPr>
        <w:t xml:space="preserve"> </w:t>
      </w:r>
      <w:r>
        <w:rPr>
          <w:rFonts w:cs="Times New Roman"/>
          <w:b w:val="1"/>
          <w:bCs w:val="1"/>
          <w:sz w:val="24"/>
          <w:szCs w:val="24"/>
        </w:rPr>
        <w:t xml:space="preserve">CADÚQUESE </w:t>
      </w:r>
      <w:r>
        <w:rPr>
          <w:rFonts w:cs="Times New Roman"/>
          <w:sz w:val="24"/>
          <w:szCs w:val="24"/>
        </w:rPr>
        <w:t xml:space="preserve">el beneficio otorgado </w:t>
      </w:r>
      <w:r>
        <w:rPr>
          <w:sz w:val="24"/>
          <w:szCs w:val="24"/>
        </w:rPr>
        <w:t>al observar mora en 2 o más cuotas consecutivas del Plan de Pagos como así también en caso de venta, transferencia o cambio de titularidad del inmueble.</w:t>
      </w:r>
    </w:p>
    <w:p>
      <w:pPr>
        <w:pStyle w:val="P5"/>
        <w:ind w:hanging="709" w:left="709"/>
        <w:jc w:val="both"/>
        <w:rPr>
          <w:b w:val="1"/>
          <w:bCs w:val="1"/>
          <w:sz w:val="24"/>
          <w:szCs w:val="24"/>
        </w:rPr>
      </w:pPr>
    </w:p>
    <w:p>
      <w:pPr>
        <w:pStyle w:val="P5"/>
        <w:ind w:hanging="709" w:left="709"/>
        <w:jc w:val="both"/>
        <w:rPr>
          <w:b w:val="1"/>
          <w:bCs w:val="1"/>
          <w:sz w:val="24"/>
          <w:szCs w:val="24"/>
          <w:lang/>
        </w:rPr>
      </w:pPr>
      <w:r>
        <w:rPr>
          <w:b w:val="1"/>
          <w:bCs w:val="1"/>
          <w:sz w:val="24"/>
          <w:szCs w:val="24"/>
          <w:u w:val="single"/>
        </w:rPr>
        <w:t>Art.3</w:t>
      </w:r>
      <w:r>
        <w:rPr>
          <w:b w:val="1"/>
          <w:bCs w:val="1"/>
          <w:sz w:val="24"/>
          <w:szCs w:val="24"/>
        </w:rPr>
        <w:t>:</w:t>
      </w:r>
      <w:r>
        <w:rPr>
          <w:sz w:val="24"/>
          <w:szCs w:val="24"/>
        </w:rPr>
        <w:t xml:space="preserve"> </w:t>
      </w:r>
      <w:r>
        <w:rPr>
          <w:b w:val="1"/>
          <w:bCs w:val="1"/>
          <w:sz w:val="24"/>
          <w:szCs w:val="24"/>
        </w:rPr>
        <w:t>SOLICÍTASE</w:t>
      </w:r>
      <w:r>
        <w:rPr>
          <w:sz w:val="24"/>
          <w:szCs w:val="24"/>
        </w:rPr>
        <w:t xml:space="preserve"> al Sr. Intendente que interceda ante el procurador actuante para que deje sin efecto juicio iniciado y honorarios. </w:t>
      </w:r>
    </w:p>
    <w:p>
      <w:pPr>
        <w:pStyle w:val="P5"/>
        <w:ind w:hanging="709" w:left="709"/>
        <w:jc w:val="both"/>
        <w:rPr>
          <w:b w:val="1"/>
          <w:bCs w:val="1"/>
          <w:sz w:val="24"/>
          <w:szCs w:val="24"/>
          <w:lang/>
        </w:rPr>
      </w:pPr>
    </w:p>
    <w:p>
      <w:pPr>
        <w:pStyle w:val="P5"/>
        <w:ind w:hanging="709" w:left="709"/>
        <w:jc w:val="both"/>
        <w:rPr>
          <w:sz w:val="24"/>
          <w:szCs w:val="24"/>
          <w:lang/>
        </w:rPr>
      </w:pPr>
      <w:r>
        <w:rPr>
          <w:b w:val="1"/>
          <w:bCs w:val="1"/>
          <w:sz w:val="24"/>
          <w:szCs w:val="24"/>
          <w:u w:val="single"/>
          <w:lang/>
        </w:rPr>
        <w:t>Art.4</w:t>
      </w:r>
      <w:r>
        <w:rPr>
          <w:b w:val="1"/>
          <w:bCs w:val="1"/>
          <w:sz w:val="24"/>
          <w:szCs w:val="24"/>
          <w:lang/>
        </w:rPr>
        <w:t>: PROTOCOLÍCESE</w:t>
      </w:r>
      <w:r>
        <w:rPr>
          <w:sz w:val="24"/>
          <w:szCs w:val="24"/>
          <w:lang/>
        </w:rPr>
        <w:t>, comuníquese, publíquese en el Boletín Oficial de la Ciudad de Alta Gracia, transcríbase al libro de Ordenanzas y Archívese.</w:t>
      </w: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DIECIOCHO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AF85567"/>
    <w:multiLevelType w:val="multilevel"/>
    <w:lvl w:ilvl="0">
      <w:start w:val="1"/>
      <w:numFmt w:val="upperLetter"/>
      <w:suff w:val="tab"/>
      <w:lvlText w:val="%1)"/>
      <w:lvlJc w:val="left"/>
      <w:pPr>
        <w:ind w:hanging="525" w:left="1233"/>
        <w:tabs>
          <w:tab w:val="num" w:pos="1233" w:leader="none"/>
        </w:tabs>
      </w:pPr>
      <w:rPr/>
    </w:lvl>
    <w:lvl w:ilvl="1">
      <w:start w:val="1"/>
      <w:numFmt w:val="lowerLetter"/>
      <w:suff w:val="tab"/>
      <w:lvlText w:val="%2."/>
      <w:lvlJc w:val="left"/>
      <w:pPr>
        <w:ind w:hanging="360" w:left="1788"/>
        <w:tabs>
          <w:tab w:val="num" w:pos="1788" w:leader="none"/>
        </w:tabs>
      </w:pPr>
      <w:rPr/>
    </w:lvl>
    <w:lvl w:ilvl="2">
      <w:start w:val="1"/>
      <w:numFmt w:val="lowerRoman"/>
      <w:suff w:val="tab"/>
      <w:lvlText w:val="%3."/>
      <w:lvlJc w:val="right"/>
      <w:pPr>
        <w:ind w:hanging="180" w:left="2508"/>
        <w:tabs>
          <w:tab w:val="num" w:pos="2508" w:leader="none"/>
        </w:tabs>
      </w:pPr>
      <w:rPr/>
    </w:lvl>
    <w:lvl w:ilvl="3">
      <w:start w:val="1"/>
      <w:numFmt w:val="decimal"/>
      <w:suff w:val="tab"/>
      <w:lvlText w:val="%4."/>
      <w:lvlJc w:val="left"/>
      <w:pPr>
        <w:ind w:hanging="360" w:left="3228"/>
        <w:tabs>
          <w:tab w:val="num" w:pos="3228" w:leader="none"/>
        </w:tabs>
      </w:pPr>
      <w:rPr/>
    </w:lvl>
    <w:lvl w:ilvl="4">
      <w:start w:val="1"/>
      <w:numFmt w:val="lowerLetter"/>
      <w:suff w:val="tab"/>
      <w:lvlText w:val="%5."/>
      <w:lvlJc w:val="left"/>
      <w:pPr>
        <w:ind w:hanging="360" w:left="3948"/>
        <w:tabs>
          <w:tab w:val="num" w:pos="3948" w:leader="none"/>
        </w:tabs>
      </w:pPr>
      <w:rPr/>
    </w:lvl>
    <w:lvl w:ilvl="5">
      <w:start w:val="1"/>
      <w:numFmt w:val="lowerRoman"/>
      <w:suff w:val="tab"/>
      <w:lvlText w:val="%6."/>
      <w:lvlJc w:val="right"/>
      <w:pPr>
        <w:ind w:hanging="180" w:left="4668"/>
        <w:tabs>
          <w:tab w:val="num" w:pos="4668" w:leader="none"/>
        </w:tabs>
      </w:pPr>
      <w:rPr/>
    </w:lvl>
    <w:lvl w:ilvl="6">
      <w:start w:val="1"/>
      <w:numFmt w:val="decimal"/>
      <w:suff w:val="tab"/>
      <w:lvlText w:val="%7."/>
      <w:lvlJc w:val="left"/>
      <w:pPr>
        <w:ind w:hanging="360" w:left="5388"/>
        <w:tabs>
          <w:tab w:val="num" w:pos="5388" w:leader="none"/>
        </w:tabs>
      </w:pPr>
      <w:rPr/>
    </w:lvl>
    <w:lvl w:ilvl="7">
      <w:start w:val="1"/>
      <w:numFmt w:val="lowerLetter"/>
      <w:suff w:val="tab"/>
      <w:lvlText w:val="%8."/>
      <w:lvlJc w:val="left"/>
      <w:pPr>
        <w:ind w:hanging="360" w:left="6108"/>
        <w:tabs>
          <w:tab w:val="num" w:pos="6108" w:leader="none"/>
        </w:tabs>
      </w:pPr>
      <w:rPr/>
    </w:lvl>
    <w:lvl w:ilvl="8">
      <w:start w:val="1"/>
      <w:numFmt w:val="lowerRoman"/>
      <w:suff w:val="tab"/>
      <w:lvlText w:val="%9."/>
      <w:lvlJc w:val="right"/>
      <w:pPr>
        <w:ind w:hanging="180" w:left="6828"/>
        <w:tabs>
          <w:tab w:val="num" w:pos="6828" w:leader="none"/>
        </w:tabs>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2026-07-09T18:48:47Z</dcterms:created>
  <cp:lastModifiedBy>Federico Parisi</cp:lastModifiedBy>
  <cp:lastPrinted>2007-10-24T13:07:00Z</cp:lastPrinted>
  <dcterms:modified xsi:type="dcterms:W3CDTF">2026-07-09T18:48:47Z</dcterms:modified>
  <cp:revision>2</cp:revision>
  <dc:title>P R O Y E C T O   D E   O R D E N A N Z A</dc:title>
</cp:coreProperties>
</file>