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docProps/app.xml" ContentType="application/vnd.openxmlformats-officedocument.extended-properties+xml"/>
  <Override PartName="/word/theme/theme1.xml" ContentType="application/vnd.openxmlformats-officedocument.theme+xml"/>
</Types>
</file>

<file path=_rels/.rels>&#65279;<?xml version="1.0" encoding="utf-8"?><Relationships xmlns="http://schemas.openxmlformats.org/package/2006/relationships"><Relationship Id="R1" Type="http://schemas.openxmlformats.org/officeDocument/2006/relationships/officeDocument" Target="/word/document.xml" /><Relationship Id="coreR1" Type="http://schemas.openxmlformats.org/package/2006/relationships/metadata/core-properties" Target="/docProps/core.xml" /><Relationship Id="appR1" Type="http://schemas.openxmlformats.org/officeDocument/2006/relationships/extended-properties" Target="/docProps/app.xml" /></Relationships>
</file>

<file path=word/document.xml><?xml version="1.0" encoding="utf-8"?>
<w:document xmlns:w="http://schemas.openxmlformats.org/wordprocessingml/2006/main" xmlns:r="http://schemas.openxmlformats.org/officeDocument/2006/relationships" xmlns:wps="http://schemas.microsoft.com/office/word/2010/wordprocessingShape" xmlns:mc="http://schemas.openxmlformats.org/markup-compatibility/2006" xmlns:w10="urn:schemas-microsoft-com:office:word" xmlns:v="urn:schemas-microsoft-com:vml" xmlns:wp14="http://schemas.microsoft.com/office/word/2010/wordprocessingDrawing" xmlns:wpg="http://schemas.microsoft.com/office/word/2010/wordprocessingGroup" xmlns:wpc="http://schemas.microsoft.com/office/word/2010/wordprocessingCanvas" xmlns:w14="http://schemas.microsoft.com/office/word/2010/wordml" xmlns:w15="http://schemas.microsoft.com/office/word/2012/wordml" xmlns:cx1="http://schemas.microsoft.com/office/drawing/2015/9/8/chartex" xmlns:cx2="http://schemas.microsoft.com/office/drawing/2015/10/21/chartex" mc:Ignorable="wp14 w14 w15">
  <w:body>
    <w:p>
      <w:pPr>
        <w:pStyle w:val="P2"/>
        <w:rPr>
          <w:rFonts w:ascii="Courier New" w:hAnsi="Courier New"/>
          <w:b w:val="1"/>
          <w:bCs w:val="1"/>
          <w:u w:val="single"/>
        </w:rPr>
      </w:pPr>
      <w:r>
        <w:rPr>
          <w:rFonts w:ascii="Courier New" w:hAnsi="Courier New"/>
          <w:b w:val="1"/>
          <w:bCs w:val="1"/>
          <w:u w:val="single"/>
        </w:rPr>
        <w:t>ORDENANZA Nº 7868</w:t>
      </w:r>
    </w:p>
    <w:p>
      <w:pPr>
        <w:jc w:val="center"/>
        <w:rPr>
          <w:rFonts w:ascii="Courier New" w:hAnsi="Courier New"/>
          <w:sz w:val="24"/>
          <w:szCs w:val="24"/>
          <w:lang w:val="es-MX"/>
        </w:rPr>
      </w:pPr>
    </w:p>
    <w:p>
      <w:pPr>
        <w:rPr>
          <w:rFonts w:ascii="Courier New" w:hAnsi="Courier New"/>
          <w:sz w:val="24"/>
          <w:szCs w:val="24"/>
          <w:lang w:val="es-MX"/>
        </w:rPr>
      </w:pPr>
    </w:p>
    <w:p>
      <w:pPr>
        <w:ind w:hanging="709" w:left="709"/>
        <w:jc w:val="both"/>
        <w:rPr>
          <w:rFonts w:ascii="Courier New" w:hAnsi="Courier New"/>
          <w:sz w:val="24"/>
          <w:szCs w:val="24"/>
          <w:lang w:val="es-MX"/>
        </w:rPr>
      </w:pPr>
      <w:r>
        <w:rPr>
          <w:rFonts w:ascii="Courier New" w:hAnsi="Courier New"/>
          <w:sz w:val="24"/>
          <w:szCs w:val="24"/>
          <w:lang w:val="es-MX"/>
        </w:rPr>
        <w:t>Visto: El Expediente Nº 290/01</w:t>
      </w:r>
      <w:r>
        <w:rPr>
          <w:rFonts w:ascii="Courier New" w:hAnsi="Courier New" w:cs="Courier New"/>
        </w:rPr>
        <w:t xml:space="preserve"> </w:t>
      </w:r>
      <w:r>
        <w:rPr>
          <w:rFonts w:ascii="Courier New" w:hAnsi="Courier New" w:cs="Courier New"/>
          <w:sz w:val="24"/>
          <w:szCs w:val="24"/>
        </w:rPr>
        <w:t>y la nota presentada en junio de 2006</w:t>
      </w:r>
      <w:r>
        <w:rPr>
          <w:rFonts w:ascii="Courier New" w:hAnsi="Courier New"/>
          <w:sz w:val="24"/>
          <w:szCs w:val="24"/>
          <w:lang w:val="es-MX"/>
        </w:rPr>
        <w:t>; y</w:t>
      </w:r>
    </w:p>
    <w:p>
      <w:pPr>
        <w:jc w:val="both"/>
        <w:rPr>
          <w:rFonts w:ascii="Courier New" w:hAnsi="Courier New"/>
          <w:sz w:val="24"/>
          <w:szCs w:val="24"/>
          <w:lang w:val="es-MX"/>
        </w:rPr>
      </w:pPr>
    </w:p>
    <w:p>
      <w:pPr>
        <w:jc w:val="center"/>
        <w:rPr>
          <w:rFonts w:ascii="Courier New" w:hAnsi="Courier New"/>
          <w:b w:val="1"/>
          <w:bCs w:val="1"/>
          <w:sz w:val="24"/>
          <w:szCs w:val="24"/>
          <w:lang w:val="es-MX"/>
        </w:rPr>
      </w:pPr>
    </w:p>
    <w:p>
      <w:pPr>
        <w:pStyle w:val="P1"/>
        <w:rPr>
          <w:rFonts w:ascii="Courier New" w:hAnsi="Courier New"/>
        </w:rPr>
      </w:pPr>
      <w:r>
        <w:rPr>
          <w:rFonts w:ascii="Courier New" w:hAnsi="Courier New"/>
        </w:rPr>
        <w:t>C O N S I D E R A N D O</w:t>
      </w:r>
    </w:p>
    <w:p>
      <w:pPr>
        <w:rPr>
          <w:rFonts w:ascii="Courier New" w:hAnsi="Courier New"/>
        </w:rPr>
      </w:pPr>
    </w:p>
    <w:p>
      <w:pPr>
        <w:rPr>
          <w:rFonts w:ascii="Courier New" w:hAnsi="Courier New"/>
          <w:sz w:val="24"/>
          <w:szCs w:val="24"/>
        </w:rPr>
      </w:pPr>
    </w:p>
    <w:p>
      <w:pPr>
        <w:pStyle w:val="P3"/>
        <w:ind w:left="709"/>
        <w:jc w:val="both"/>
        <w:rPr>
          <w:rFonts w:ascii="Courier New" w:hAnsi="Courier New" w:cs="Courier New"/>
        </w:rPr>
      </w:pPr>
      <w:r>
        <w:rPr>
          <w:rFonts w:ascii="Courier New" w:hAnsi="Courier New" w:cs="Courier New"/>
        </w:rPr>
        <w:t>Que el mismo es iniciado por la Sra. Ronzano de Johnson María del Carmen, D.N.I. Nº 13.709.597 domiciliada en Gob. Gavier 48 Barrio Sabattini donde solicita nuevo Plan de Pagos con cuotas accesibles por la deuda de obra de gas que registra;</w:t>
      </w:r>
    </w:p>
    <w:p>
      <w:pPr>
        <w:pStyle w:val="P3"/>
        <w:ind w:left="709"/>
        <w:jc w:val="both"/>
        <w:rPr>
          <w:rFonts w:ascii="Courier New" w:hAnsi="Courier New" w:cs="Courier New"/>
        </w:rPr>
      </w:pPr>
    </w:p>
    <w:p>
      <w:pPr>
        <w:pStyle w:val="P3"/>
        <w:ind w:left="709"/>
        <w:jc w:val="both"/>
        <w:rPr>
          <w:rFonts w:ascii="Courier New" w:hAnsi="Courier New" w:cs="Courier New"/>
        </w:rPr>
      </w:pPr>
      <w:r>
        <w:rPr>
          <w:rFonts w:ascii="Courier New" w:hAnsi="Courier New" w:cs="Courier New"/>
        </w:rPr>
        <w:t xml:space="preserve">Que a Fs. 16 existe copia del compromiso de pago firmado en el año 2000 entre la solicitante y la Comisión Municipal de Gas; </w:t>
      </w:r>
    </w:p>
    <w:p>
      <w:pPr>
        <w:pStyle w:val="P3"/>
        <w:ind w:left="709"/>
        <w:jc w:val="both"/>
        <w:rPr>
          <w:rFonts w:ascii="Courier New" w:hAnsi="Courier New" w:cs="Courier New"/>
        </w:rPr>
      </w:pPr>
    </w:p>
    <w:p>
      <w:pPr>
        <w:pStyle w:val="P3"/>
        <w:ind w:left="709"/>
        <w:jc w:val="both"/>
        <w:rPr>
          <w:rFonts w:ascii="Courier New" w:hAnsi="Courier New" w:cs="Courier New"/>
        </w:rPr>
      </w:pPr>
      <w:r>
        <w:rPr>
          <w:rFonts w:ascii="Courier New" w:hAnsi="Courier New" w:cs="Courier New"/>
        </w:rPr>
        <w:t xml:space="preserve">Que a Fs. 17 en la nota de referencia explica los motivos por los cuales no cumplió con el referido compromiso; </w:t>
      </w:r>
    </w:p>
    <w:p>
      <w:pPr>
        <w:pStyle w:val="P3"/>
        <w:ind w:left="709"/>
        <w:jc w:val="both"/>
        <w:rPr>
          <w:rFonts w:ascii="Courier New" w:hAnsi="Courier New" w:cs="Courier New"/>
        </w:rPr>
      </w:pPr>
    </w:p>
    <w:p>
      <w:pPr>
        <w:pStyle w:val="P3"/>
        <w:ind w:left="709"/>
        <w:jc w:val="both"/>
        <w:rPr>
          <w:rFonts w:ascii="Courier New" w:hAnsi="Courier New" w:cs="Courier New"/>
        </w:rPr>
      </w:pPr>
      <w:r>
        <w:rPr>
          <w:rFonts w:ascii="Courier New" w:hAnsi="Courier New" w:cs="Courier New"/>
        </w:rPr>
        <w:t xml:space="preserve">Que el estudio socioeconómico informa que el ingreso económico para el grupo familiar lo aporta el marido; </w:t>
      </w:r>
    </w:p>
    <w:p>
      <w:pPr>
        <w:pStyle w:val="P3"/>
        <w:ind w:left="709"/>
        <w:jc w:val="both"/>
        <w:rPr>
          <w:rFonts w:ascii="Courier New" w:hAnsi="Courier New" w:cs="Courier New"/>
        </w:rPr>
      </w:pPr>
    </w:p>
    <w:p>
      <w:pPr>
        <w:pStyle w:val="P3"/>
        <w:ind w:left="709"/>
        <w:jc w:val="both"/>
        <w:rPr>
          <w:rFonts w:ascii="Courier New" w:hAnsi="Courier New" w:cs="Courier New"/>
        </w:rPr>
      </w:pPr>
      <w:r>
        <w:rPr>
          <w:rFonts w:ascii="Courier New" w:hAnsi="Courier New" w:cs="Courier New"/>
        </w:rPr>
        <w:t xml:space="preserve">Que pagan una cuota de cuarenta pesos ($40.-) por la vivienda; </w:t>
      </w:r>
    </w:p>
    <w:p>
      <w:pPr>
        <w:pStyle w:val="P3"/>
        <w:ind w:left="709"/>
        <w:jc w:val="both"/>
        <w:rPr>
          <w:rFonts w:ascii="Courier New" w:hAnsi="Courier New" w:cs="Courier New"/>
        </w:rPr>
      </w:pPr>
    </w:p>
    <w:p>
      <w:pPr>
        <w:pStyle w:val="P3"/>
        <w:ind w:left="709"/>
        <w:jc w:val="both"/>
        <w:rPr>
          <w:rFonts w:ascii="Courier New" w:hAnsi="Courier New" w:cs="Courier New"/>
        </w:rPr>
      </w:pPr>
      <w:r>
        <w:rPr>
          <w:rFonts w:ascii="Courier New" w:hAnsi="Courier New" w:cs="Courier New"/>
        </w:rPr>
        <w:t xml:space="preserve">Que la deuda de referencia no está en juicio según informe de Dirección de Ingresos Públicos a Fs. 24 y 25; </w:t>
      </w:r>
    </w:p>
    <w:p>
      <w:pPr>
        <w:pStyle w:val="P3"/>
        <w:ind w:left="709"/>
        <w:jc w:val="both"/>
        <w:rPr>
          <w:rFonts w:ascii="Courier New" w:hAnsi="Courier New" w:cs="Courier New"/>
        </w:rPr>
      </w:pPr>
    </w:p>
    <w:p>
      <w:pPr>
        <w:pStyle w:val="P3"/>
        <w:ind w:left="709"/>
        <w:jc w:val="both"/>
        <w:rPr>
          <w:rFonts w:ascii="Courier New" w:hAnsi="Courier New" w:cs="Courier New"/>
        </w:rPr>
      </w:pPr>
      <w:r>
        <w:rPr>
          <w:rFonts w:ascii="Courier New" w:hAnsi="Courier New" w:cs="Courier New"/>
        </w:rPr>
        <w:t xml:space="preserve">Que a Fs. 26 Dirección de Ingresos Públicos informa que el Plan de Pagos está en vigencia no registrándose cuotas pagas; </w:t>
      </w:r>
    </w:p>
    <w:p>
      <w:pPr>
        <w:pStyle w:val="P3"/>
        <w:ind w:left="709"/>
        <w:jc w:val="both"/>
        <w:rPr>
          <w:rFonts w:ascii="Courier New" w:hAnsi="Courier New" w:cs="Courier New"/>
        </w:rPr>
      </w:pPr>
    </w:p>
    <w:p>
      <w:pPr>
        <w:pStyle w:val="P3"/>
        <w:ind w:left="709"/>
        <w:jc w:val="both"/>
        <w:rPr>
          <w:rFonts w:ascii="Courier New" w:hAnsi="Courier New" w:cs="Courier New"/>
        </w:rPr>
      </w:pPr>
      <w:r>
        <w:rPr>
          <w:rFonts w:ascii="Courier New" w:hAnsi="Courier New" w:cs="Courier New"/>
        </w:rPr>
        <w:t>Que a solicitud de la Comisión de Hacienda, se presentó la solicitante aclarando aspectos de su último pedido, comprometiéndose a regularizar su situación;</w:t>
      </w:r>
    </w:p>
    <w:p>
      <w:pPr>
        <w:pStyle w:val="P3"/>
        <w:ind w:left="709"/>
        <w:jc w:val="both"/>
        <w:rPr>
          <w:rFonts w:ascii="Courier New" w:hAnsi="Courier New" w:cs="Courier New"/>
        </w:rPr>
      </w:pPr>
    </w:p>
    <w:p>
      <w:pPr>
        <w:pStyle w:val="P3"/>
        <w:ind w:left="709"/>
        <w:jc w:val="both"/>
        <w:rPr>
          <w:rFonts w:ascii="Courier New" w:hAnsi="Courier New"/>
        </w:rPr>
      </w:pPr>
      <w:r>
        <w:rPr>
          <w:rFonts w:ascii="Courier New" w:hAnsi="Courier New"/>
        </w:rPr>
        <w:t>Que evaluado el contenido del Expediente mencionado por Comisión de Hacienda, la misma emite despacho en el marco de las Ordenanzas vigentes, despacho aprobado por unanimidad en Sesión Ordinaria de fecha 25 de Octubre de 2007.</w:t>
      </w:r>
    </w:p>
    <w:p>
      <w:pPr>
        <w:pStyle w:val="P3"/>
        <w:jc w:val="right"/>
        <w:rPr>
          <w:rFonts w:ascii="Courier New" w:hAnsi="Courier New"/>
        </w:rPr>
      </w:pPr>
      <w:r>
        <w:rPr>
          <w:rFonts w:ascii="Courier New" w:hAnsi="Courier New"/>
        </w:rPr>
        <w:t>...///</w:t>
      </w:r>
    </w:p>
    <w:p>
      <w:pPr>
        <w:pStyle w:val="P3"/>
        <w:jc w:val="both"/>
        <w:rPr>
          <w:rFonts w:ascii="Courier New" w:hAnsi="Courier New"/>
          <w:b w:val="1"/>
          <w:bCs w:val="1"/>
        </w:rPr>
      </w:pPr>
    </w:p>
    <w:p>
      <w:pPr>
        <w:pStyle w:val="P3"/>
        <w:jc w:val="both"/>
        <w:rPr>
          <w:rFonts w:ascii="Courier New" w:hAnsi="Courier New"/>
          <w:b w:val="1"/>
          <w:bCs w:val="1"/>
        </w:rPr>
      </w:pPr>
    </w:p>
    <w:p>
      <w:pPr>
        <w:pStyle w:val="P3"/>
        <w:ind w:left="0"/>
        <w:jc w:val="both"/>
        <w:rPr>
          <w:rFonts w:ascii="Courier New" w:hAnsi="Courier New"/>
          <w:b w:val="1"/>
          <w:bCs w:val="1"/>
        </w:rPr>
      </w:pPr>
    </w:p>
    <w:p>
      <w:pPr>
        <w:pStyle w:val="P3"/>
        <w:ind w:left="0"/>
        <w:jc w:val="both"/>
        <w:rPr>
          <w:rFonts w:ascii="Courier New" w:hAnsi="Courier New"/>
          <w:b w:val="1"/>
          <w:bCs w:val="1"/>
        </w:rPr>
      </w:pPr>
    </w:p>
    <w:p>
      <w:pPr>
        <w:pStyle w:val="P3"/>
        <w:ind w:left="0"/>
        <w:jc w:val="both"/>
        <w:rPr>
          <w:rFonts w:ascii="Courier New" w:hAnsi="Courier New"/>
          <w:b w:val="1"/>
          <w:bCs w:val="1"/>
        </w:rPr>
      </w:pPr>
    </w:p>
    <w:p>
      <w:pPr>
        <w:pStyle w:val="P3"/>
        <w:ind w:left="0"/>
        <w:jc w:val="both"/>
        <w:rPr>
          <w:rFonts w:ascii="Courier New" w:hAnsi="Courier New"/>
        </w:rPr>
      </w:pPr>
      <w:r>
        <w:rPr>
          <w:rFonts w:ascii="Courier New" w:hAnsi="Courier New"/>
        </w:rPr>
        <w:t>...///2.-</w:t>
      </w:r>
    </w:p>
    <w:p>
      <w:pPr>
        <w:pStyle w:val="P3"/>
        <w:jc w:val="both"/>
        <w:rPr>
          <w:rFonts w:ascii="Courier New" w:hAnsi="Courier New"/>
          <w:b w:val="1"/>
          <w:bCs w:val="1"/>
        </w:rPr>
      </w:pPr>
    </w:p>
    <w:p>
      <w:pPr>
        <w:pStyle w:val="P3"/>
        <w:jc w:val="both"/>
        <w:rPr>
          <w:rFonts w:ascii="Courier New" w:hAnsi="Courier New"/>
          <w:b w:val="1"/>
          <w:bCs w:val="1"/>
        </w:rPr>
      </w:pPr>
    </w:p>
    <w:p>
      <w:pPr>
        <w:pStyle w:val="P3"/>
        <w:jc w:val="center"/>
        <w:rPr>
          <w:rFonts w:ascii="Courier New" w:hAnsi="Courier New"/>
          <w:b w:val="1"/>
          <w:bCs w:val="1"/>
        </w:rPr>
      </w:pPr>
      <w:r>
        <w:rPr>
          <w:rFonts w:ascii="Courier New" w:hAnsi="Courier New"/>
          <w:b w:val="1"/>
          <w:bCs w:val="1"/>
        </w:rPr>
        <w:t>EL HONORABLE CONCEJO DELIBERANTE DE LA CIUDAD DE</w:t>
      </w:r>
    </w:p>
    <w:p>
      <w:pPr>
        <w:pStyle w:val="P3"/>
        <w:ind w:left="1275"/>
        <w:jc w:val="both"/>
        <w:rPr>
          <w:rFonts w:ascii="Courier New" w:hAnsi="Courier New"/>
          <w:b w:val="1"/>
          <w:bCs w:val="1"/>
        </w:rPr>
      </w:pPr>
    </w:p>
    <w:p>
      <w:pPr>
        <w:pStyle w:val="P3"/>
        <w:ind w:left="1275"/>
        <w:jc w:val="both"/>
        <w:rPr>
          <w:rFonts w:ascii="Courier New" w:hAnsi="Courier New"/>
          <w:b w:val="1"/>
          <w:bCs w:val="1"/>
        </w:rPr>
      </w:pPr>
    </w:p>
    <w:p>
      <w:pPr>
        <w:pStyle w:val="P3"/>
        <w:ind w:left="1275"/>
        <w:jc w:val="both"/>
        <w:rPr>
          <w:rFonts w:ascii="Courier New" w:hAnsi="Courier New"/>
          <w:b w:val="1"/>
          <w:bCs w:val="1"/>
        </w:rPr>
      </w:pPr>
      <w:r>
        <w:rPr>
          <w:rFonts w:ascii="Courier New" w:hAnsi="Courier New"/>
          <w:b w:val="1"/>
          <w:bCs w:val="1"/>
        </w:rPr>
        <w:t>ALTA GRACIA SANCIONA CON FUERZA DE ORDENANZA</w:t>
      </w:r>
    </w:p>
    <w:p>
      <w:pPr>
        <w:pStyle w:val="P3"/>
        <w:ind w:hanging="709" w:left="709"/>
        <w:jc w:val="both"/>
        <w:rPr>
          <w:rFonts w:ascii="Courier New" w:hAnsi="Courier New"/>
          <w:b w:val="1"/>
          <w:bCs w:val="1"/>
          <w:u w:val="single"/>
        </w:rPr>
      </w:pPr>
    </w:p>
    <w:p>
      <w:pPr>
        <w:pStyle w:val="P3"/>
        <w:ind w:hanging="709" w:left="709"/>
        <w:jc w:val="both"/>
        <w:rPr>
          <w:rFonts w:ascii="Courier New" w:hAnsi="Courier New"/>
          <w:b w:val="1"/>
          <w:bCs w:val="1"/>
          <w:u w:val="single"/>
        </w:rPr>
      </w:pPr>
    </w:p>
    <w:p>
      <w:pPr>
        <w:pStyle w:val="P3"/>
        <w:ind w:hanging="709" w:left="709"/>
        <w:jc w:val="both"/>
        <w:rPr>
          <w:rFonts w:ascii="Courier New" w:hAnsi="Courier New"/>
          <w:b w:val="1"/>
          <w:bCs w:val="1"/>
        </w:rPr>
      </w:pPr>
      <w:r>
        <w:rPr>
          <w:rFonts w:ascii="Courier New" w:hAnsi="Courier New"/>
          <w:b w:val="1"/>
          <w:bCs w:val="1"/>
          <w:u w:val="single"/>
        </w:rPr>
        <w:t>Art.1</w:t>
      </w:r>
      <w:r>
        <w:rPr>
          <w:rFonts w:ascii="Courier New" w:hAnsi="Courier New"/>
          <w:b w:val="1"/>
          <w:bCs w:val="1"/>
        </w:rPr>
        <w:t xml:space="preserve">: </w:t>
      </w:r>
      <w:r>
        <w:rPr>
          <w:rFonts w:ascii="Courier New" w:hAnsi="Courier New" w:cs="Courier New"/>
          <w:b w:val="1"/>
          <w:bCs w:val="1"/>
        </w:rPr>
        <w:t>DÉJASE</w:t>
      </w:r>
      <w:r>
        <w:rPr>
          <w:rFonts w:ascii="Courier New" w:hAnsi="Courier New" w:cs="Courier New"/>
        </w:rPr>
        <w:t xml:space="preserve"> sin efecto el Plan de Pagos otorgado oportunamente y registrado como Identificación 28580 Obra de Gas.</w:t>
      </w:r>
    </w:p>
    <w:p>
      <w:pPr>
        <w:pStyle w:val="P3"/>
        <w:ind w:hanging="709" w:left="709"/>
        <w:jc w:val="both"/>
        <w:rPr>
          <w:rFonts w:ascii="Courier New" w:hAnsi="Courier New"/>
          <w:b w:val="1"/>
          <w:bCs w:val="1"/>
        </w:rPr>
      </w:pPr>
    </w:p>
    <w:p>
      <w:pPr>
        <w:pStyle w:val="P3"/>
        <w:ind w:hanging="709" w:left="709"/>
        <w:jc w:val="both"/>
        <w:rPr>
          <w:rFonts w:ascii="Courier New" w:hAnsi="Courier New" w:cs="Courier New"/>
        </w:rPr>
      </w:pPr>
      <w:r>
        <w:rPr>
          <w:rFonts w:ascii="Courier New" w:hAnsi="Courier New"/>
          <w:b w:val="1"/>
          <w:bCs w:val="1"/>
          <w:u w:val="single"/>
        </w:rPr>
        <w:t>Art.2</w:t>
      </w:r>
      <w:r>
        <w:rPr>
          <w:rFonts w:ascii="Courier New" w:hAnsi="Courier New"/>
          <w:b w:val="1"/>
          <w:bCs w:val="1"/>
        </w:rPr>
        <w:t xml:space="preserve">: </w:t>
      </w:r>
      <w:r>
        <w:rPr>
          <w:rFonts w:ascii="Courier New" w:hAnsi="Courier New" w:cs="Courier New"/>
          <w:b w:val="1"/>
          <w:bCs w:val="1"/>
        </w:rPr>
        <w:t>AUTORÍZASE</w:t>
      </w:r>
      <w:r>
        <w:rPr>
          <w:rFonts w:ascii="Courier New" w:hAnsi="Courier New" w:cs="Courier New"/>
        </w:rPr>
        <w:t xml:space="preserve"> al Departamento Ejecutivo a realizar un Plan de Pagos con cuotas mensuales de treinta pesos ($30.-) por la deuda a Valores Históricos de Obra de Gas que registra el Sr. Johnson Daniel y la Sra. Ronzano María del Carmen, designación catastral 01-01-390-014. </w:t>
      </w:r>
    </w:p>
    <w:p>
      <w:pPr>
        <w:pStyle w:val="P4"/>
        <w:ind w:hanging="709" w:left="709"/>
        <w:jc w:val="both"/>
        <w:outlineLvl w:val="0"/>
        <w:rPr>
          <w:rFonts w:ascii="Courier New" w:hAnsi="Courier New"/>
          <w:b w:val="1"/>
          <w:bCs w:val="1"/>
          <w:caps w:val="1"/>
          <w:lang w:val="es-ES"/>
        </w:rPr>
      </w:pPr>
    </w:p>
    <w:p>
      <w:pPr>
        <w:pStyle w:val="P4"/>
        <w:ind w:hanging="709" w:left="709"/>
        <w:jc w:val="both"/>
        <w:outlineLvl w:val="0"/>
        <w:rPr>
          <w:rFonts w:ascii="Courier New" w:hAnsi="Courier New"/>
        </w:rPr>
      </w:pPr>
      <w:r>
        <w:rPr>
          <w:rFonts w:ascii="Courier New" w:hAnsi="Courier New"/>
          <w:b w:val="1"/>
          <w:bCs w:val="1"/>
          <w:u w:val="single"/>
        </w:rPr>
        <w:t>Art.3</w:t>
      </w:r>
      <w:r>
        <w:rPr>
          <w:rFonts w:ascii="Courier New" w:hAnsi="Courier New"/>
          <w:b w:val="1"/>
          <w:bCs w:val="1"/>
        </w:rPr>
        <w:t xml:space="preserve">: </w:t>
      </w:r>
      <w:r>
        <w:rPr>
          <w:rFonts w:ascii="Courier New" w:hAnsi="Courier New"/>
          <w:b w:val="1"/>
          <w:bCs w:val="1"/>
          <w:caps w:val="1"/>
        </w:rPr>
        <w:t xml:space="preserve">cadúquese </w:t>
      </w:r>
      <w:r>
        <w:rPr>
          <w:rFonts w:ascii="Courier New" w:hAnsi="Courier New"/>
        </w:rPr>
        <w:t>automáticamente el beneficio otorgado en caso de registrarse mora en tres o más cuotas.</w:t>
      </w:r>
    </w:p>
    <w:p>
      <w:pPr>
        <w:pStyle w:val="P5"/>
        <w:ind w:hanging="709" w:left="709"/>
        <w:jc w:val="both"/>
        <w:rPr>
          <w:b w:val="1"/>
          <w:bCs w:val="1"/>
          <w:sz w:val="24"/>
          <w:szCs w:val="24"/>
          <w:u w:val="single"/>
          <w:lang/>
        </w:rPr>
      </w:pPr>
    </w:p>
    <w:p>
      <w:pPr>
        <w:pStyle w:val="P5"/>
        <w:ind w:hanging="709" w:left="709"/>
        <w:jc w:val="both"/>
        <w:rPr>
          <w:sz w:val="24"/>
          <w:szCs w:val="24"/>
          <w:lang/>
        </w:rPr>
      </w:pPr>
      <w:r>
        <w:rPr>
          <w:b w:val="1"/>
          <w:bCs w:val="1"/>
          <w:sz w:val="24"/>
          <w:szCs w:val="24"/>
          <w:u w:val="single"/>
          <w:lang/>
        </w:rPr>
        <w:t>Art.4</w:t>
      </w:r>
      <w:r>
        <w:rPr>
          <w:b w:val="1"/>
          <w:bCs w:val="1"/>
          <w:sz w:val="24"/>
          <w:szCs w:val="24"/>
          <w:lang/>
        </w:rPr>
        <w:t>: PROTOCOLÍCESE</w:t>
      </w:r>
      <w:r>
        <w:rPr>
          <w:sz w:val="24"/>
          <w:szCs w:val="24"/>
          <w:lang/>
        </w:rPr>
        <w:t>, comuníquese, publíquese en el Boletín Oficial de la Ciudad de Alta Gracia, transcríbase al libro de Ordenanzas y Archívese.</w:t>
      </w:r>
    </w:p>
    <w:p>
      <w:pPr>
        <w:pStyle w:val="P5"/>
        <w:ind w:hanging="709" w:left="709"/>
        <w:jc w:val="both"/>
        <w:rPr>
          <w:b w:val="1"/>
          <w:bCs w:val="1"/>
          <w:sz w:val="24"/>
          <w:szCs w:val="24"/>
          <w:lang/>
        </w:rPr>
      </w:pPr>
    </w:p>
    <w:p>
      <w:pPr>
        <w:pStyle w:val="P5"/>
        <w:ind w:hanging="709" w:left="709"/>
        <w:jc w:val="both"/>
        <w:rPr>
          <w:sz w:val="24"/>
          <w:szCs w:val="24"/>
        </w:rPr>
      </w:pPr>
    </w:p>
    <w:p>
      <w:pPr>
        <w:pStyle w:val="P5"/>
        <w:ind w:hanging="709" w:left="709"/>
        <w:jc w:val="both"/>
        <w:rPr>
          <w:sz w:val="24"/>
          <w:szCs w:val="24"/>
        </w:rPr>
      </w:pPr>
    </w:p>
    <w:p>
      <w:pPr>
        <w:pStyle w:val="P3"/>
        <w:ind w:left="0"/>
        <w:jc w:val="both"/>
        <w:rPr>
          <w:rFonts w:ascii="Courier New" w:hAnsi="Courier New"/>
        </w:rPr>
      </w:pPr>
      <w:r>
        <w:rPr>
          <w:rFonts w:ascii="Courier New" w:hAnsi="Courier New"/>
          <w:b w:val="1"/>
          <w:bCs w:val="1"/>
        </w:rPr>
        <w:t>DADA EN LA SALA DE SESIONES DEL HONORABLE CONCEJO DELIBERANTE A LOS VEINTICINCO DÍAS DEL MES DE OCTUBRE DEL AÑO DOS MIL SIETE.</w:t>
      </w:r>
    </w:p>
    <w:sectPr>
      <w:type w:val="nextPage"/>
      <w:pgSz w:w="11907" w:h="16840" w:code="0"/>
      <w:pgMar w:left="1701" w:right="1418" w:top="1701" w:bottom="1418" w:header="720" w:footer="720" w:gutter="0"/>
    </w:sectPr>
  </w:body>
</w:document>
</file>

<file path=word/numbering.xml><?xml version="1.0" encoding="utf-8"?>
<w:numbering xmlns:w="http://schemas.openxmlformats.org/wordprocessingml/2006/main">
  <w:abstractNum w:abstractNumId="0">
    <w:nsid w:val="02E12647"/>
    <w:multiLevelType w:val="multilevel"/>
    <w:lvl w:ilvl="0">
      <w:start w:val="1"/>
      <w:numFmt w:val="lowerLetter"/>
      <w:suff w:val="tab"/>
      <w:lvlText w:val="%1)"/>
      <w:lvlJc w:val="left"/>
      <w:pPr>
        <w:ind w:hanging="360" w:left="927"/>
        <w:tabs>
          <w:tab w:val="num" w:pos="927"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1">
    <w:nsid w:val="1C5F2711"/>
    <w:multiLevelType w:val="multilevel"/>
    <w:lvl w:ilvl="0">
      <w:start w:val="1"/>
      <w:numFmt w:val="upperLetter"/>
      <w:suff w:val="tab"/>
      <w:lvlText w:val="%1)"/>
      <w:lvlJc w:val="left"/>
      <w:pPr>
        <w:ind w:hanging="435" w:left="1711"/>
        <w:tabs>
          <w:tab w:val="num" w:pos="1711"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2">
    <w:nsid w:val="527A4AA4"/>
    <w:multiLevelType w:val="multilevel"/>
    <w:lvl w:ilvl="0">
      <w:start w:val="1"/>
      <w:numFmt w:val="lowerLetter"/>
      <w:suff w:val="tab"/>
      <w:lvlText w:val="%1)"/>
      <w:lvlJc w:val="left"/>
      <w:pPr>
        <w:ind w:hanging="360" w:left="1636"/>
        <w:tabs>
          <w:tab w:val="num" w:pos="1636"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3">
    <w:nsid w:val="665D5DA7"/>
    <w:multiLevelType w:val="multilevel"/>
    <w:lvl w:ilvl="0">
      <w:start w:val="1"/>
      <w:numFmt w:val="lowerLetter"/>
      <w:suff w:val="tab"/>
      <w:lvlText w:val="%1)"/>
      <w:lvlJc w:val="left"/>
      <w:pPr>
        <w:ind w:hanging="360" w:left="927"/>
        <w:tabs>
          <w:tab w:val="num" w:pos="927"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num w:numId="1">
    <w:abstractNumId w:val="3"/>
  </w:num>
  <w:num w:numId="2">
    <w:abstractNumId w:val="0"/>
  </w:num>
  <w:num w:numId="3">
    <w:abstractNumId w:val="1"/>
  </w:num>
  <w:num w:numId="4">
    <w:abstractNumId w:val="2"/>
  </w:num>
</w:numbering>
</file>

<file path=word/settings.xml><?xml version="1.0" encoding="utf-8"?>
<w:settings xmlns:r="http://schemas.openxmlformats.org/officeDocument/2006/relationships" xmlns:w="http://schemas.openxmlformats.org/wordprocessingml/2006/main">
  <w:displayBackgroundShape w:val="0"/>
  <w:doNotTrackFormatting/>
  <w:defaultTabStop w:val="708"/>
  <w:autoHyphenation w:val="0"/>
  <w:hyphenationZone w:val="425"/>
  <w:evenAndOddHeaders w:val="0"/>
  <w:characterSpacingControl w:val="compressPunctuation"/>
  <w:compat>
    <w:alignTablesRowByRow/>
    <w:splitPgBreakAndParaMark/>
    <w:growAutofit/>
    <w:doNotBreakConstrainedForcedTable/>
    <w:doNotBreakWrappedTables/>
    <w:doNotVertAlignCellWithSp/>
    <w:footnoteLayoutLikeWW8/>
    <w:shapeLayoutLikeWW8/>
    <w:useWord2002TableStyleRules/>
    <w:doNotUseIndentAsNumberingTabStop/>
    <w:compatSetting w:name="compatibilityMode" w:uri="http://schemas.microsoft.com/office/word" w:val="11"/>
  </w:compat>
  <m:mathPr xmlns:m="http://schemas.openxmlformats.org/officeDocument/2006/math">
    <m:brkBin m:val="before"/>
    <m:brkBinSub m:val="--"/>
    <m:defJc m:val="centerGroup"/>
    <m:interSp m:val="0"/>
    <m:intLim m:val="undOvr"/>
    <m:intraSp m:val="0"/>
    <m:lMargin m:val="0"/>
    <m:mathFont m:val="Cambria Math"/>
    <m:naryLim m:val="undOvr"/>
    <m:postSp m:val="0"/>
    <m:preSp m:val="0"/>
    <m:rMargin m:val="0"/>
    <m:wrapIndent m:val="0"/>
    <m:wrapRight m:val="0"/>
  </m:mathPr>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Times New Roman" w:hAnsi="Times New Roman" w:cs="Times New Roman" w:eastAsia="Times New Roman"/>
        <w:sz w:val="20"/>
        <w:szCs w:val="20"/>
      </w:rPr>
    </w:rPrDefault>
    <w:pPrDefault>
      <w:pPr>
        <w:keepNext w:val="0"/>
        <w:keepLines w:val="0"/>
        <w:pageBreakBefore w:val="0"/>
        <w:widowControl w:val="1"/>
        <w:suppressLineNumbers w:val="0"/>
        <w:shd w:val="clear" w:fill="auto"/>
        <w:suppressAutoHyphens w:val="0"/>
        <w:spacing w:lineRule="auto" w:line="240" w:before="0" w:after="0" w:beforeAutospacing="0" w:afterAutospacing="0"/>
        <w:ind w:firstLine="0" w:left="0" w:right="0"/>
        <w:contextualSpacing w:val="0"/>
        <w:bidi w:val="0"/>
        <w:jc w:val="left"/>
        <w:outlineLvl w:val="9"/>
      </w:pPr>
    </w:pPrDefault>
  </w:docDefaults>
  <w:style w:type="paragraph" w:styleId="P0" w:default="1">
    <w:name w:val="Normal"/>
    <w:next w:val="P0"/>
    <w:pPr/>
    <w:rPr>
      <w:sz w:val="20"/>
      <w:lang w:val="es-ES"/>
    </w:rPr>
  </w:style>
  <w:style w:type="paragraph" w:styleId="P1">
    <w:name w:val="Heading 1"/>
    <w:basedOn w:val="P0"/>
    <w:next w:val="P0"/>
    <w:pPr>
      <w:keepNext w:val="1"/>
      <w:jc w:val="center"/>
      <w:outlineLvl w:val="0"/>
    </w:pPr>
    <w:rPr>
      <w:b w:val="1"/>
      <w:bCs w:val="1"/>
      <w:sz w:val="24"/>
      <w:szCs w:val="24"/>
      <w:lang w:val="es-MX"/>
    </w:rPr>
  </w:style>
  <w:style w:type="paragraph" w:styleId="P2">
    <w:name w:val="Title"/>
    <w:basedOn w:val="P0"/>
    <w:next w:val="P2"/>
    <w:pPr>
      <w:jc w:val="center"/>
    </w:pPr>
    <w:rPr>
      <w:sz w:val="24"/>
      <w:szCs w:val="24"/>
      <w:lang w:val="es-MX"/>
    </w:rPr>
  </w:style>
  <w:style w:type="paragraph" w:styleId="P3">
    <w:name w:val="Body Text Indent"/>
    <w:basedOn w:val="P0"/>
    <w:next w:val="P3"/>
    <w:pPr>
      <w:ind w:left="567"/>
    </w:pPr>
    <w:rPr>
      <w:sz w:val="24"/>
      <w:szCs w:val="24"/>
    </w:rPr>
  </w:style>
  <w:style w:type="paragraph" w:styleId="P4">
    <w:name w:val="Body Text 2"/>
    <w:basedOn w:val="P0"/>
    <w:next w:val="P4"/>
    <w:pPr>
      <w:jc w:val="center"/>
    </w:pPr>
    <w:rPr>
      <w:sz w:val="24"/>
      <w:szCs w:val="24"/>
      <w:lang/>
    </w:rPr>
  </w:style>
  <w:style w:type="paragraph" w:styleId="P5">
    <w:name w:val="Plain Text"/>
    <w:basedOn w:val="P0"/>
    <w:next w:val="P5"/>
    <w:pPr/>
    <w:rPr>
      <w:rFonts w:ascii="Courier New" w:hAnsi="Courier New"/>
    </w:rPr>
  </w:style>
  <w:style w:type="paragraph" w:styleId="P6">
    <w:name w:val="Body Text Indent 2"/>
    <w:basedOn w:val="P0"/>
    <w:next w:val="P6"/>
    <w:pPr>
      <w:ind w:hanging="142" w:left="709"/>
      <w:jc w:val="both"/>
    </w:pPr>
    <w:rPr>
      <w:rFonts w:ascii="Courier New" w:hAnsi="Courier New"/>
      <w:sz w:val="24"/>
      <w:szCs w:val="24"/>
    </w:rPr>
  </w:style>
  <w:style w:type="paragraph" w:styleId="P7">
    <w:name w:val="Body Text Indent 3"/>
    <w:basedOn w:val="P0"/>
    <w:next w:val="P7"/>
    <w:pPr>
      <w:ind w:left="709"/>
      <w:jc w:val="both"/>
    </w:pPr>
    <w:rPr>
      <w:rFonts w:ascii="Courier New" w:hAnsi="Courier New"/>
      <w:sz w:val="24"/>
      <w:szCs w:val="24"/>
    </w:rPr>
  </w:style>
  <w:style w:type="character" w:styleId="C0" w:default="1">
    <w:name w:val="Default Paragraph Font"/>
    <w:semiHidden/>
    <w:rPr/>
  </w:style>
  <w:style w:type="character" w:styleId="C1">
    <w:name w:val="Line Number"/>
    <w:basedOn w:val="C0"/>
    <w:semiHidden/>
    <w:rPr/>
  </w:style>
  <w:style w:type="character" w:styleId="C2">
    <w:name w:val="Hyperlink"/>
    <w:rPr>
      <w:color w:val="0000FF"/>
      <w:u w:val="single"/>
    </w:rPr>
  </w:style>
  <w:style w:type="table" w:styleId="T0" w:default="1">
    <w:name w:val="Normal Table"/>
    <w:tblPr>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s>
</file>

<file path=word/_rels/document.xml.rels>&#65279;<?xml version="1.0" encoding="utf-8"?><Relationships xmlns="http://schemas.openxmlformats.org/package/2006/relationships"><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tileRect/>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tileRect/>
        </a:gradFill>
      </a:fillStyleLst>
      <a:lnStyleLst>
        <a:ln w="9525" cmpd="sng" algn="ctr">
          <a:solidFill>
            <a:schemeClr val="phClr">
              <a:shade val="95000"/>
              <a:satMod val="105000"/>
            </a:schemeClr>
          </a:solidFill>
          <a:prstDash val="solid"/>
        </a:ln>
        <a:ln w="25400" cmpd="sng" algn="ctr">
          <a:solidFill>
            <a:schemeClr val="phClr"/>
          </a:solidFill>
          <a:prstDash val="solid"/>
        </a:ln>
        <a:ln w="38100"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tileRect/>
        </a:gradFill>
        <a:gradFill rotWithShape="1">
          <a:gsLst>
            <a:gs pos="0">
              <a:schemeClr val="phClr">
                <a:tint val="80000"/>
                <a:satMod val="300000"/>
              </a:schemeClr>
            </a:gs>
            <a:gs pos="100000">
              <a:schemeClr val="phClr">
                <a:shade val="30000"/>
                <a:satMod val="200000"/>
              </a:schemeClr>
            </a:gs>
          </a:gsLst>
          <a:path path="circle">
            <a:fillToRect l="50000" t="50000" r="50000" b="50000"/>
          </a:path>
          <a:tileRect/>
        </a:gradFill>
      </a:bgFillStyleLst>
    </a:fmtScheme>
  </a:themeElements>
</a:theme>
</file>

<file path=docProps/app.xml><?xml version="1.0" encoding="utf-8"?>
<Properties xmlns="http://schemas.openxmlformats.org/officeDocument/2006/extended-properties">
  <Application>DevExpress Office File API/25.2.3.0</Application>
  <AppVersion>25.2</AppVersion>
  <Company> </Company>
  <Template>Normal</Template>
</Properties>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xavier</dc:creator>
  <dcterms:created xsi:type="dcterms:W3CDTF">2026-07-09T18:48:38Z</dcterms:created>
  <cp:lastModifiedBy>Federico Parisi</cp:lastModifiedBy>
  <cp:lastPrinted>2007-09-29T12:41:00Z</cp:lastPrinted>
  <dcterms:modified xsi:type="dcterms:W3CDTF">2026-07-09T18:48:38Z</dcterms:modified>
  <cp:revision>2</cp:revision>
  <dc:title>P R O Y E C T O   D E   O R D E N A N Z A</dc:title>
</cp:coreProperties>
</file>