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p>
    <w:p>
      <w:pPr>
        <w:pStyle w:val="P2"/>
        <w:rPr>
          <w:rFonts w:ascii="Courier New" w:hAnsi="Courier New"/>
          <w:b w:val="1"/>
          <w:bCs w:val="1"/>
          <w:u w:val="single"/>
        </w:rPr>
      </w:pPr>
      <w:r>
        <w:rPr>
          <w:rFonts w:ascii="Courier New" w:hAnsi="Courier New"/>
          <w:b w:val="1"/>
          <w:bCs w:val="1"/>
          <w:u w:val="single"/>
        </w:rPr>
        <w:t>ORDENANZA Nº 7871</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cs="Courier New"/>
          <w:sz w:val="24"/>
          <w:szCs w:val="24"/>
          <w:lang w:val="es-MX"/>
        </w:rPr>
      </w:pPr>
      <w:r>
        <w:rPr>
          <w:rFonts w:ascii="Courier New" w:hAnsi="Courier New" w:cs="Courier New"/>
          <w:sz w:val="24"/>
          <w:szCs w:val="24"/>
          <w:lang w:val="es-MX"/>
        </w:rPr>
        <w:t>Vistos: El Expediente Nº 1545/04,</w:t>
      </w:r>
      <w:r>
        <w:rPr>
          <w:rFonts w:ascii="Courier New" w:hAnsi="Courier New" w:cs="Courier New"/>
          <w:sz w:val="24"/>
          <w:szCs w:val="24"/>
        </w:rPr>
        <w:t xml:space="preserve"> la Ordenanza Nº 7373 y la nota de fecha 30 de noviembre de 2006</w:t>
      </w:r>
      <w:r>
        <w:rPr>
          <w:rFonts w:ascii="Courier New" w:hAnsi="Courier New" w:cs="Courier New"/>
          <w:sz w:val="24"/>
          <w:szCs w:val="24"/>
          <w:lang w:val="es-MX"/>
        </w:rPr>
        <w:t>;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cs="Courier New"/>
        </w:rPr>
      </w:pPr>
    </w:p>
    <w:p>
      <w:pPr>
        <w:rPr>
          <w:rFonts w:ascii="Courier New" w:hAnsi="Courier New" w:cs="Courier New"/>
          <w:sz w:val="24"/>
          <w:szCs w:val="24"/>
        </w:rPr>
      </w:pPr>
    </w:p>
    <w:p>
      <w:pPr>
        <w:pStyle w:val="P3"/>
        <w:ind w:left="709"/>
        <w:jc w:val="both"/>
        <w:rPr>
          <w:rFonts w:ascii="Courier New" w:hAnsi="Courier New" w:cs="Courier New"/>
        </w:rPr>
      </w:pPr>
      <w:r>
        <w:rPr>
          <w:rFonts w:ascii="Courier New" w:hAnsi="Courier New" w:cs="Courier New"/>
        </w:rPr>
        <w:t xml:space="preserve">Que en dicha nota la Sra. María Isabel Rivera solicita continuar con el beneficio otorgado por Ordenanza Nº 7373;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a Fs. 38 se encuentra otra nota de fecha 9 de marzo de 2006 en la que solicita eximición del pago del sellado que fija el Área de Obras Privadas;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a Fs. 31 se halla el Acta de Constatación de Obras Privadas;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no existe en el Expediente información sobre el monto que la solicitante debe abonar de acuerdo a lo expresado por ella;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a Fs. 34 el estado de deuda de la Dirección de Ingresos Públicos se observa el cumplimiento de pago de acuerdo a la Ordenanza Nº 7373;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Que de acuerdo al último informe socioeconómico del 31 de agosto de 2007 la situación de la solicitante y su grupo familiar no ha variado;</w:t>
      </w:r>
    </w:p>
    <w:p>
      <w:pPr>
        <w:pStyle w:val="P3"/>
        <w:ind w:left="709"/>
        <w:jc w:val="both"/>
        <w:rPr>
          <w:rFonts w:ascii="Courier New" w:hAnsi="Courier New" w:cs="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25 de Octubre de 2007.</w:t>
      </w:r>
    </w:p>
    <w:p>
      <w:pPr>
        <w:pStyle w:val="P3"/>
        <w:ind w:left="0"/>
        <w:jc w:val="both"/>
        <w:rPr>
          <w:rFonts w:ascii="Courier New" w:hAnsi="Courier New"/>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both"/>
        <w:rPr>
          <w:rFonts w:ascii="Courier New" w:hAnsi="Courier New"/>
          <w:b w:val="1"/>
          <w:bCs w:val="1"/>
          <w:u w:val="single"/>
        </w:rPr>
      </w:pPr>
    </w:p>
    <w:p>
      <w:pPr>
        <w:pStyle w:val="P3"/>
        <w:ind w:hanging="709" w:left="709"/>
        <w:jc w:val="right"/>
        <w:rPr>
          <w:rFonts w:ascii="Courier New" w:hAnsi="Courier New"/>
        </w:rPr>
      </w:pPr>
      <w:r>
        <w:rPr>
          <w:rFonts w:ascii="Courier New" w:hAnsi="Courier New"/>
        </w:rPr>
        <w:t>...///</w:t>
      </w: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rPr>
      </w:pPr>
      <w:r>
        <w:rPr>
          <w:rFonts w:ascii="Courier New" w:hAnsi="Courier New"/>
        </w:rPr>
        <w:t>...///2.-</w:t>
      </w:r>
    </w:p>
    <w:p>
      <w:pPr>
        <w:pStyle w:val="P3"/>
        <w:ind w:hanging="709" w:left="709"/>
        <w:jc w:val="both"/>
        <w:rPr>
          <w:rFonts w:ascii="Courier New" w:hAnsi="Courier New"/>
        </w:rPr>
      </w:pPr>
    </w:p>
    <w:p>
      <w:pPr>
        <w:pStyle w:val="P3"/>
        <w:ind w:hanging="709" w:left="709"/>
        <w:jc w:val="both"/>
        <w:rPr>
          <w:rFonts w:ascii="Courier New" w:hAnsi="Courier New" w:cs="Courier New"/>
          <w:b w:val="1"/>
          <w:bCs w:val="1"/>
        </w:rPr>
      </w:pPr>
      <w:r>
        <w:rPr>
          <w:rFonts w:ascii="Courier New" w:hAnsi="Courier New" w:cs="Courier New"/>
          <w:b w:val="1"/>
          <w:bCs w:val="1"/>
          <w:u w:val="single"/>
        </w:rPr>
        <w:t>Art.1</w:t>
      </w:r>
      <w:r>
        <w:rPr>
          <w:rFonts w:ascii="Courier New" w:hAnsi="Courier New" w:cs="Courier New"/>
          <w:b w:val="1"/>
          <w:bCs w:val="1"/>
        </w:rPr>
        <w:t>:</w:t>
      </w:r>
      <w:r>
        <w:rPr>
          <w:rFonts w:ascii="Courier New" w:hAnsi="Courier New" w:cs="Courier New"/>
          <w:b w:val="1"/>
          <w:bCs w:val="1"/>
        </w:rPr>
        <w:t xml:space="preserve"> OTÓRGASE</w:t>
      </w:r>
      <w:r>
        <w:rPr>
          <w:rFonts w:ascii="Courier New" w:hAnsi="Courier New" w:cs="Courier New"/>
        </w:rPr>
        <w:t xml:space="preserve"> el beneficio de la Ordenanza Nº 5485, Artículo 3, al propietario de la designación catastral 3-01-061-018-000, con una cuota mensual de cinco pesos ($5.-) en concepto de Tasa por Servicios a la Propiedad a partir de la promulgación de la presente Ordenanza y hasta diciembre de 2008 inclusive.</w:t>
      </w:r>
    </w:p>
    <w:p>
      <w:pPr>
        <w:pStyle w:val="P3"/>
        <w:ind w:hanging="709" w:left="709"/>
        <w:jc w:val="both"/>
        <w:rPr>
          <w:rFonts w:ascii="Courier New" w:hAnsi="Courier New" w:cs="Courier New"/>
          <w:b w:val="1"/>
          <w:bCs w:val="1"/>
        </w:rPr>
      </w:pPr>
    </w:p>
    <w:p>
      <w:pPr>
        <w:pStyle w:val="P3"/>
        <w:ind w:hanging="709" w:left="709"/>
        <w:jc w:val="both"/>
        <w:rPr>
          <w:rFonts w:ascii="Courier New" w:hAnsi="Courier New" w:cs="Courier New"/>
          <w:b w:val="1"/>
          <w:bCs w:val="1"/>
        </w:rPr>
      </w:pPr>
      <w:r>
        <w:rPr>
          <w:rFonts w:ascii="Courier New" w:hAnsi="Courier New" w:cs="Courier New"/>
          <w:b w:val="1"/>
          <w:bCs w:val="1"/>
          <w:u w:val="single"/>
        </w:rPr>
        <w:t>Art.2</w:t>
      </w:r>
      <w:r>
        <w:rPr>
          <w:rFonts w:ascii="Courier New" w:hAnsi="Courier New" w:cs="Courier New"/>
          <w:b w:val="1"/>
          <w:bCs w:val="1"/>
        </w:rPr>
        <w:t xml:space="preserve">:  EXÍMASE </w:t>
      </w:r>
      <w:r>
        <w:rPr>
          <w:rFonts w:ascii="Courier New" w:hAnsi="Courier New" w:cs="Courier New"/>
        </w:rPr>
        <w:t>por cada cuota abonada en término de una de la deuda.</w:t>
      </w:r>
    </w:p>
    <w:p>
      <w:pPr>
        <w:pStyle w:val="P3"/>
        <w:ind w:hanging="709" w:left="709"/>
        <w:jc w:val="both"/>
        <w:rPr>
          <w:rFonts w:ascii="Courier New" w:hAnsi="Courier New" w:cs="Courier New"/>
          <w:b w:val="1"/>
          <w:bCs w:val="1"/>
          <w:caps w:val="1"/>
        </w:rPr>
      </w:pPr>
    </w:p>
    <w:p>
      <w:pPr>
        <w:pStyle w:val="P3"/>
        <w:ind w:hanging="709" w:left="709"/>
        <w:jc w:val="both"/>
        <w:rPr>
          <w:rFonts w:ascii="Courier New" w:hAnsi="Courier New" w:cs="Courier New"/>
        </w:rPr>
      </w:pPr>
      <w:r>
        <w:rPr>
          <w:rFonts w:ascii="Courier New" w:hAnsi="Courier New" w:cs="Courier New"/>
          <w:b w:val="1"/>
          <w:bCs w:val="1"/>
          <w:caps w:val="1"/>
          <w:u w:val="single"/>
        </w:rPr>
        <w:t>art.3</w:t>
      </w:r>
      <w:r>
        <w:rPr>
          <w:rFonts w:ascii="Courier New" w:hAnsi="Courier New" w:cs="Courier New"/>
          <w:b w:val="1"/>
          <w:bCs w:val="1"/>
          <w:caps w:val="1"/>
        </w:rPr>
        <w:t xml:space="preserve">: cadúqueNse </w:t>
      </w:r>
      <w:r>
        <w:rPr>
          <w:rFonts w:ascii="Courier New" w:hAnsi="Courier New" w:cs="Courier New"/>
        </w:rPr>
        <w:t>automáticamente los beneficios otorgados en los artículos anteriores, en caso de transferencia del inmueble, cambio de titularidad, venta o mora en más de 3 cuotas consecutivas.</w:t>
      </w:r>
    </w:p>
    <w:p>
      <w:pPr>
        <w:pStyle w:val="P4"/>
        <w:ind w:hanging="709" w:left="709"/>
        <w:jc w:val="both"/>
        <w:outlineLvl w:val="0"/>
        <w:rPr>
          <w:rFonts w:ascii="Courier New" w:hAnsi="Courier New"/>
          <w:b w:val="1"/>
          <w:bCs w:val="1"/>
          <w:caps w:val="1"/>
          <w:lang w:val="es-ES"/>
        </w:rPr>
      </w:pPr>
    </w:p>
    <w:p>
      <w:pPr>
        <w:pStyle w:val="P4"/>
        <w:ind w:hanging="709" w:left="709"/>
        <w:jc w:val="both"/>
        <w:outlineLvl w:val="0"/>
        <w:rPr>
          <w:rFonts w:ascii="Courier New" w:hAnsi="Courier New" w:cs="Courier New"/>
          <w:b w:val="1"/>
          <w:bCs w:val="1"/>
        </w:rPr>
      </w:pPr>
      <w:r>
        <w:rPr>
          <w:rFonts w:ascii="Courier New" w:hAnsi="Courier New" w:cs="Courier New"/>
          <w:b w:val="1"/>
          <w:bCs w:val="1"/>
          <w:u w:val="single"/>
        </w:rPr>
        <w:t>Art.4</w:t>
      </w:r>
      <w:r>
        <w:rPr>
          <w:rFonts w:ascii="Courier New" w:hAnsi="Courier New" w:cs="Courier New"/>
          <w:b w:val="1"/>
          <w:bCs w:val="1"/>
        </w:rPr>
        <w:t xml:space="preserve">: CUMPLIDO </w:t>
      </w:r>
      <w:r>
        <w:rPr>
          <w:rFonts w:ascii="Courier New" w:hAnsi="Courier New" w:cs="Courier New"/>
        </w:rPr>
        <w:t>el término establecido en el Artículo 1 y si la situación persiste, previo informe socioeconómico, extender el beneficio por 12 meses más.</w:t>
      </w:r>
    </w:p>
    <w:p>
      <w:pPr>
        <w:pStyle w:val="P4"/>
        <w:ind w:hanging="709" w:left="709"/>
        <w:jc w:val="both"/>
        <w:outlineLvl w:val="0"/>
        <w:rPr>
          <w:rFonts w:ascii="Courier New" w:hAnsi="Courier New" w:cs="Courier New"/>
          <w:b w:val="1"/>
          <w:bCs w:val="1"/>
        </w:rPr>
      </w:pPr>
    </w:p>
    <w:p>
      <w:pPr>
        <w:pStyle w:val="P4"/>
        <w:ind w:hanging="709" w:left="709"/>
        <w:jc w:val="both"/>
        <w:outlineLvl w:val="0"/>
        <w:rPr>
          <w:rFonts w:ascii="Courier New" w:hAnsi="Courier New"/>
        </w:rPr>
      </w:pPr>
      <w:r>
        <w:rPr>
          <w:rFonts w:ascii="Courier New" w:hAnsi="Courier New" w:cs="Courier New"/>
          <w:b w:val="1"/>
          <w:bCs w:val="1"/>
          <w:u w:val="single"/>
        </w:rPr>
        <w:t>Art.5</w:t>
      </w:r>
      <w:r>
        <w:rPr>
          <w:rFonts w:ascii="Courier New" w:hAnsi="Courier New" w:cs="Courier New"/>
          <w:b w:val="1"/>
          <w:bCs w:val="1"/>
        </w:rPr>
        <w:t>: PROTOCOLÍCESE</w:t>
      </w:r>
      <w:r>
        <w:rPr>
          <w:rFonts w:ascii="Courier New" w:hAnsi="Courier New" w:cs="Courier New"/>
        </w:rPr>
        <w:t>, comuníquese, publíquese en el Boletín Oficial de la Ciudad de Alta Gracia, transcríbase al libro de Ordenanzas y Archívese.</w:t>
      </w:r>
    </w:p>
    <w:p>
      <w:pPr>
        <w:pStyle w:val="P5"/>
        <w:ind w:hanging="709" w:left="709"/>
        <w:jc w:val="both"/>
        <w:rPr>
          <w:b w:val="1"/>
          <w:bCs w:val="1"/>
          <w:sz w:val="24"/>
          <w:szCs w:val="24"/>
          <w:u w:val="single"/>
          <w:lang/>
        </w:rPr>
      </w:pPr>
    </w:p>
    <w:p>
      <w:pPr>
        <w:pStyle w:val="P5"/>
        <w:ind w:hanging="709" w:left="709"/>
        <w:jc w:val="both"/>
        <w:rPr>
          <w:sz w:val="24"/>
          <w:szCs w:val="24"/>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VEINTICINCO DÍAS DEL MES DE OCTUBRE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2026-07-09T18:48:10Z</dcterms:created>
  <cp:lastModifiedBy>Federico Parisi</cp:lastModifiedBy>
  <cp:lastPrinted>2007-10-31T13:57:00Z</cp:lastPrinted>
  <dcterms:modified xsi:type="dcterms:W3CDTF">2026-07-09T18:48:10Z</dcterms:modified>
  <cp:revision>2</cp:revision>
  <dc:title>P R O Y E C T O   D E   O R D E N A N Z A</dc:title>
</cp:coreProperties>
</file>