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Nº 7872</w:t>
      </w:r>
    </w:p>
    <w:p>
      <w:pPr>
        <w:jc w:val="center"/>
        <w:rPr>
          <w:rFonts w:ascii="Courier New" w:hAnsi="Courier New"/>
          <w:sz w:val="24"/>
          <w:szCs w:val="24"/>
          <w:lang w:val="es-MX"/>
        </w:rPr>
      </w:pPr>
    </w:p>
    <w:p>
      <w:pPr>
        <w:rPr>
          <w:rFonts w:ascii="Courier New" w:hAnsi="Courier New"/>
          <w:sz w:val="24"/>
          <w:szCs w:val="24"/>
          <w:lang w:val="es-MX"/>
        </w:rPr>
      </w:pPr>
    </w:p>
    <w:p>
      <w:pPr>
        <w:ind w:hanging="709" w:left="709"/>
        <w:jc w:val="both"/>
        <w:rPr>
          <w:rFonts w:ascii="Courier New" w:hAnsi="Courier New" w:cs="Courier New"/>
          <w:sz w:val="24"/>
          <w:szCs w:val="24"/>
          <w:lang w:val="es-MX"/>
        </w:rPr>
      </w:pPr>
      <w:r>
        <w:rPr>
          <w:rFonts w:ascii="Courier New" w:hAnsi="Courier New" w:cs="Courier New"/>
          <w:sz w:val="24"/>
          <w:szCs w:val="24"/>
          <w:lang w:val="es-MX"/>
        </w:rPr>
        <w:t>Visto: El Expediente Nº 1330/05; y</w:t>
      </w:r>
    </w:p>
    <w:p>
      <w:pPr>
        <w:jc w:val="both"/>
        <w:rPr>
          <w:rFonts w:ascii="Courier New" w:hAnsi="Courier New"/>
          <w:sz w:val="24"/>
          <w:szCs w:val="24"/>
          <w:lang w:val="es-MX"/>
        </w:rPr>
      </w:pPr>
    </w:p>
    <w:p>
      <w:pPr>
        <w:jc w:val="center"/>
        <w:rPr>
          <w:rFonts w:ascii="Courier New" w:hAnsi="Courier New"/>
          <w:b w:val="1"/>
          <w:bCs w:val="1"/>
          <w:sz w:val="24"/>
          <w:szCs w:val="24"/>
          <w:lang w:val="es-MX"/>
        </w:rPr>
      </w:pPr>
    </w:p>
    <w:p>
      <w:pPr>
        <w:pStyle w:val="P1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 w:cs="Courier New"/>
        </w:rPr>
      </w:pPr>
    </w:p>
    <w:p>
      <w:pPr>
        <w:rPr>
          <w:rFonts w:ascii="Courier New" w:hAnsi="Courier New" w:cs="Courier New"/>
          <w:sz w:val="24"/>
          <w:szCs w:val="24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el mismo es iniciado por el Sr. Alberto Roberto Arguello, propietario del Hotel “Hostal del Sol” solicitando exención impositiva teniendo en cuenta que se trata de un emprendimiento turístico;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informa en su nota que el comercio de referencia inició sus actividades el 5 de enero de 2005, identificado bajo el Legajo Nº 8757;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manifiesta haber realizado una importante inversión refaccionando y acondicionado el edificio para brindar al turista que nos visita una mejor calidad de atención en su estadía;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no obstante ello, no se encuadra en los beneficios contemplados en la Ordenanza Nº 7117 referida a Régimen de Promoción y Desarrollo Turístico de la Ciudad conforme a lo informado por Dirección de Turismo (Fs. 9 y 10), por lo que el contribuyente solicita a este Concejo que evalúe lo peticionado teniendo en cuenta que la inversión realizada ha sido muy importante;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este Concejo pidió informe sobre lo adeudado en concepto de Tasa por Servicios a la Propiedad de los inmuebles donde se encuentra el hostal designaciones catastrales 03-01-251-001- y 03-01-251-002 y de Tasa por Servicios de Inspección General e Higiene por el comercio Legajo Nº 8757, informe obrante a Fs. 20, 21, 22 y 23;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se pide informe comparativo con otros emprendimientos hoteleros de la ciudad a la Dirección de Turismo, informe que obra a Fs. 25; 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0"/>
        <w:jc w:val="both"/>
        <w:rPr>
          <w:rFonts w:ascii="Courier New" w:hAnsi="Courier New" w:cs="Courier New"/>
        </w:rPr>
      </w:pPr>
    </w:p>
    <w:p>
      <w:pPr>
        <w:pStyle w:val="P3"/>
        <w:ind w:left="0"/>
        <w:jc w:val="both"/>
        <w:rPr>
          <w:rFonts w:ascii="Courier New" w:hAnsi="Courier New" w:cs="Courier New"/>
        </w:rPr>
      </w:pPr>
    </w:p>
    <w:p>
      <w:pPr>
        <w:pStyle w:val="P3"/>
        <w:ind w:left="0"/>
        <w:jc w:val="both"/>
        <w:rPr>
          <w:rFonts w:ascii="Courier New" w:hAnsi="Courier New" w:cs="Courier New"/>
        </w:rPr>
      </w:pPr>
    </w:p>
    <w:p>
      <w:pPr>
        <w:pStyle w:val="P3"/>
        <w:ind w:left="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...///2.-</w:t>
      </w:r>
    </w:p>
    <w:p>
      <w:pPr>
        <w:pStyle w:val="P3"/>
        <w:ind w:left="709"/>
        <w:jc w:val="both"/>
        <w:rPr>
          <w:rFonts w:ascii="Courier New" w:hAnsi="Courier New" w:cs="Courier New"/>
        </w:rPr>
      </w:pPr>
    </w:p>
    <w:p>
      <w:pPr>
        <w:pStyle w:val="P3"/>
        <w:ind w:left="709"/>
        <w:jc w:val="both"/>
        <w:rPr>
          <w:rFonts w:ascii="Courier New" w:hAnsi="Courier New"/>
        </w:rPr>
      </w:pPr>
      <w:r>
        <w:rPr>
          <w:rFonts w:ascii="Courier New" w:hAnsi="Courier New" w:cs="Courier New"/>
        </w:rPr>
        <w:t>Que evaluado el contenido del Expediente por Comisión de Hacienda y teniendo en cuenta la importancia para nuestra ciudad de mejorar la oferta hotelera, brindando mejores servicios, debiendo apoyarse a los inversionistas para alentarlos a continuar con la actividad dándoles incentivos suficientes teniendo en cuenta que esto nos beneficia a todos,</w:t>
      </w:r>
      <w:r>
        <w:rPr>
          <w:rFonts w:ascii="Courier New" w:hAnsi="Courier New"/>
        </w:rPr>
        <w:t xml:space="preserve"> la misma emite despacho en el marco de las Ordenanzas vigentes, despacho aprobado por unanimidad en Sesión Ordinaria de fecha 25 de Octubre de 2007.</w:t>
      </w:r>
    </w:p>
    <w:p>
      <w:pPr>
        <w:pStyle w:val="P3"/>
        <w:ind w:left="0"/>
        <w:jc w:val="both"/>
        <w:rPr>
          <w:rFonts w:ascii="Courier New" w:hAnsi="Courier New"/>
        </w:rPr>
      </w:pPr>
    </w:p>
    <w:p>
      <w:pPr>
        <w:pStyle w:val="P3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jc w:val="center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EL HONORABLE CONCEJO DELIBERANTE DE LA CIUDAD DE</w:t>
      </w: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left="1275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pStyle w:val="P3"/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pStyle w:val="P3"/>
        <w:ind w:hanging="709" w:left="709"/>
        <w:jc w:val="both"/>
        <w:rPr>
          <w:rFonts w:ascii="Courier New" w:hAnsi="Courier New" w:cs="Courier New"/>
          <w:b w:val="1"/>
          <w:bCs w:val="1"/>
          <w:u w:val="single"/>
        </w:rPr>
      </w:pPr>
    </w:p>
    <w:p>
      <w:pPr>
        <w:pStyle w:val="P3"/>
        <w:ind w:hanging="709" w:left="709"/>
        <w:jc w:val="both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  <w:u w:val="single"/>
        </w:rPr>
        <w:t>Art.1</w:t>
      </w:r>
      <w:r>
        <w:rPr>
          <w:rFonts w:ascii="Courier New" w:hAnsi="Courier New" w:cs="Courier New"/>
          <w:b w:val="1"/>
          <w:bCs w:val="1"/>
        </w:rPr>
        <w:t>:</w:t>
      </w:r>
      <w:r>
        <w:rPr>
          <w:rFonts w:ascii="Courier New" w:hAnsi="Courier New" w:cs="Courier New"/>
          <w:b w:val="1"/>
          <w:bCs w:val="1"/>
        </w:rPr>
        <w:t xml:space="preserve"> EXÍMASE</w:t>
      </w:r>
      <w:r>
        <w:rPr>
          <w:rFonts w:ascii="Courier New" w:hAnsi="Courier New" w:cs="Courier New"/>
        </w:rPr>
        <w:t xml:space="preserve"> en un cien por cien (100%) el pago de la deuda de Tasa por Servicios de Inspección General e Higiene sobre el comercio Legajo Nº 8757, haciendo extensivo la exención hasta diciembre de 2008 inclusive.</w:t>
      </w:r>
    </w:p>
    <w:p>
      <w:pPr>
        <w:pStyle w:val="P3"/>
        <w:ind w:hanging="709" w:left="709"/>
        <w:jc w:val="both"/>
        <w:rPr>
          <w:rFonts w:ascii="Courier New" w:hAnsi="Courier New" w:cs="Courier New"/>
          <w:b w:val="1"/>
          <w:bCs w:val="1"/>
        </w:rPr>
      </w:pPr>
    </w:p>
    <w:p>
      <w:pPr>
        <w:pStyle w:val="P3"/>
        <w:ind w:hanging="709" w:left="709"/>
        <w:jc w:val="both"/>
        <w:rPr>
          <w:rFonts w:ascii="Courier New" w:hAnsi="Courier New" w:cs="Courier New"/>
          <w:b w:val="1"/>
          <w:bCs w:val="1"/>
        </w:rPr>
      </w:pPr>
      <w:r>
        <w:rPr>
          <w:rFonts w:ascii="Courier New" w:hAnsi="Courier New" w:cs="Courier New"/>
          <w:b w:val="1"/>
          <w:bCs w:val="1"/>
          <w:u w:val="single"/>
        </w:rPr>
        <w:t>Art.2</w:t>
      </w:r>
      <w:r>
        <w:rPr>
          <w:rFonts w:ascii="Courier New" w:hAnsi="Courier New" w:cs="Courier New"/>
          <w:b w:val="1"/>
          <w:bCs w:val="1"/>
        </w:rPr>
        <w:t>: AUTORÍZASE</w:t>
      </w:r>
      <w:r>
        <w:rPr>
          <w:rFonts w:ascii="Courier New" w:hAnsi="Courier New" w:cs="Courier New"/>
        </w:rPr>
        <w:t xml:space="preserve"> al Departamento Ejecutivo a otorgar un Plan de Pagos a Valores Históricos en 10 cuotas por la deuda que a la fecha de promulgación de la presente Ordenanza mantienen con el Municipio en concepto de Tasa por Servicios a la Propiedad, los inmuebles designaciones catastrales 03-01-251-001 y 03-01-251-002, donde se encuentra emplazado el emprendimiento hotelero “hostal del sol”.</w:t>
      </w:r>
    </w:p>
    <w:p>
      <w:pPr>
        <w:pStyle w:val="P3"/>
        <w:ind w:hanging="709" w:left="709"/>
        <w:jc w:val="both"/>
        <w:rPr>
          <w:rFonts w:ascii="Courier New" w:hAnsi="Courier New" w:cs="Courier New"/>
          <w:b w:val="1"/>
          <w:bCs w:val="1"/>
          <w:caps w:val="1"/>
        </w:rPr>
      </w:pPr>
    </w:p>
    <w:p>
      <w:pPr>
        <w:pStyle w:val="P4"/>
        <w:ind w:hanging="709" w:left="709"/>
        <w:jc w:val="both"/>
        <w:outlineLvl w:val="0"/>
        <w:rPr>
          <w:rFonts w:ascii="Courier New" w:hAnsi="Courier New"/>
        </w:rPr>
      </w:pPr>
      <w:r>
        <w:rPr>
          <w:rFonts w:ascii="Courier New" w:hAnsi="Courier New" w:cs="Courier New"/>
          <w:b w:val="1"/>
          <w:bCs w:val="1"/>
          <w:caps w:val="1"/>
          <w:u w:val="single"/>
        </w:rPr>
        <w:t>art.3</w:t>
      </w:r>
      <w:r>
        <w:rPr>
          <w:rFonts w:ascii="Courier New" w:hAnsi="Courier New" w:cs="Courier New"/>
          <w:b w:val="1"/>
          <w:bCs w:val="1"/>
          <w:caps w:val="1"/>
        </w:rPr>
        <w:t xml:space="preserve">: </w:t>
      </w:r>
      <w:r>
        <w:rPr>
          <w:rFonts w:ascii="Courier New" w:hAnsi="Courier New" w:cs="Courier New"/>
          <w:b w:val="1"/>
          <w:bCs w:val="1"/>
        </w:rPr>
        <w:t>PROTOCOLÍCESE</w:t>
      </w:r>
      <w:r>
        <w:rPr>
          <w:rFonts w:ascii="Courier New" w:hAnsi="Courier New" w:cs="Courier New"/>
        </w:rPr>
        <w:t>, comuníquese, publíquese en el Boletín Oficial de la Ciudad de Alta Gracia, transcríbase al libro de Ordenanzas y Archívese.</w:t>
      </w:r>
    </w:p>
    <w:p>
      <w:pPr>
        <w:pStyle w:val="P5"/>
        <w:ind w:hanging="709" w:left="709"/>
        <w:jc w:val="both"/>
        <w:rPr>
          <w:b w:val="1"/>
          <w:bCs w:val="1"/>
          <w:sz w:val="24"/>
          <w:szCs w:val="24"/>
          <w:u w:val="single"/>
          <w:lang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5"/>
        <w:ind w:hanging="709" w:left="709"/>
        <w:jc w:val="both"/>
        <w:rPr>
          <w:sz w:val="24"/>
          <w:szCs w:val="24"/>
        </w:rPr>
      </w:pPr>
    </w:p>
    <w:p>
      <w:pPr>
        <w:pStyle w:val="P3"/>
        <w:ind w:left="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</w:rPr>
        <w:t>DADA EN LA SALA DE SESIONES DEL HONORABLE CONCEJO DELIBERANTE A LOS VEINTICINCO DÍAS DEL MES DE OCTUBRE DEL AÑO DOS MIL SIETE.</w:t>
      </w: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2E1264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C5F2711"/>
    <w:multiLevelType w:val="multilevel"/>
    <w:lvl w:ilvl="0">
      <w:start w:val="1"/>
      <w:numFmt w:val="upperLetter"/>
      <w:suff w:val="tab"/>
      <w:lvlText w:val="%1)"/>
      <w:lvlJc w:val="left"/>
      <w:pPr>
        <w:ind w:hanging="435" w:left="1711"/>
        <w:tabs>
          <w:tab w:val="num" w:pos="17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527A4A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636"/>
        <w:tabs>
          <w:tab w:val="num" w:pos="163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665D5DA7"/>
    <w:multiLevelType w:val="multilevel"/>
    <w:lvl w:ilvl="0">
      <w:start w:val="1"/>
      <w:numFmt w:val="lowerLetter"/>
      <w:suff w:val="tab"/>
      <w:lvlText w:val="%1)"/>
      <w:lvlJc w:val="left"/>
      <w:pPr>
        <w:ind w:hanging="360" w:left="927"/>
        <w:tabs>
          <w:tab w:val="num" w:pos="927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  <w:lang w:val="es-MX"/>
    </w:rPr>
  </w:style>
  <w:style w:type="paragraph" w:styleId="P2">
    <w:name w:val="Title"/>
    <w:basedOn w:val="P0"/>
    <w:next w:val="P2"/>
    <w:pPr>
      <w:jc w:val="center"/>
    </w:pPr>
    <w:rPr>
      <w:sz w:val="24"/>
      <w:szCs w:val="24"/>
      <w:lang w:val="es-MX"/>
    </w:rPr>
  </w:style>
  <w:style w:type="paragraph" w:styleId="P3">
    <w:name w:val="Body Text Indent"/>
    <w:basedOn w:val="P0"/>
    <w:next w:val="P3"/>
    <w:pPr>
      <w:ind w:left="567"/>
    </w:pPr>
    <w:rPr>
      <w:sz w:val="24"/>
      <w:szCs w:val="24"/>
    </w:rPr>
  </w:style>
  <w:style w:type="paragraph" w:styleId="P4">
    <w:name w:val="Body Text 2"/>
    <w:basedOn w:val="P0"/>
    <w:next w:val="P4"/>
    <w:pPr>
      <w:jc w:val="center"/>
    </w:pPr>
    <w:rPr>
      <w:sz w:val="24"/>
      <w:szCs w:val="24"/>
      <w:lang/>
    </w:rPr>
  </w:style>
  <w:style w:type="paragraph" w:styleId="P5">
    <w:name w:val="Plain Text"/>
    <w:basedOn w:val="P0"/>
    <w:next w:val="P5"/>
    <w:pPr/>
    <w:rPr>
      <w:rFonts w:ascii="Courier New" w:hAnsi="Courier New"/>
    </w:rPr>
  </w:style>
  <w:style w:type="paragraph" w:styleId="P6">
    <w:name w:val="Body Text Indent 2"/>
    <w:basedOn w:val="P0"/>
    <w:next w:val="P6"/>
    <w:pPr>
      <w:ind w:hanging="142" w:left="709"/>
      <w:jc w:val="both"/>
    </w:pPr>
    <w:rPr>
      <w:rFonts w:ascii="Courier New" w:hAnsi="Courier New"/>
      <w:sz w:val="24"/>
      <w:szCs w:val="24"/>
    </w:rPr>
  </w:style>
  <w:style w:type="paragraph" w:styleId="P7">
    <w:name w:val="Body Text Indent 3"/>
    <w:basedOn w:val="P0"/>
    <w:next w:val="P7"/>
    <w:pPr>
      <w:ind w:left="709"/>
      <w:jc w:val="both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xavier</dc:creator>
  <dcterms:created xsi:type="dcterms:W3CDTF">2026-07-09T18:48:02Z</dcterms:created>
  <cp:lastModifiedBy>Federico Parisi</cp:lastModifiedBy>
  <cp:lastPrinted>2007-10-31T14:22:00Z</cp:lastPrinted>
  <dcterms:modified xsi:type="dcterms:W3CDTF">2026-07-09T18:48:02Z</dcterms:modified>
  <cp:revision>2</cp:revision>
  <dc:title>P R O Y E C T O   D E   O R D E N A N Z A</dc:title>
</cp:coreProperties>
</file>