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r>
        <w:rPr>
          <w:rFonts w:ascii="Courier New" w:hAnsi="Courier New"/>
          <w:b w:val="1"/>
          <w:bCs w:val="1"/>
          <w:u w:val="single"/>
        </w:rPr>
        <w:t>ORDENANZA Nº 7874</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cs="Courier New"/>
          <w:sz w:val="24"/>
          <w:szCs w:val="24"/>
          <w:lang w:val="es-MX"/>
        </w:rPr>
      </w:pPr>
      <w:r>
        <w:rPr>
          <w:rFonts w:ascii="Courier New" w:hAnsi="Courier New" w:cs="Courier New"/>
          <w:sz w:val="24"/>
          <w:szCs w:val="24"/>
          <w:lang w:val="es-MX"/>
        </w:rPr>
        <w:t>Visto: El Expediente Nº 306/I/01;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cs="Courier New"/>
        </w:rPr>
      </w:pPr>
    </w:p>
    <w:p>
      <w:pPr>
        <w:rPr>
          <w:rFonts w:ascii="Courier New" w:hAnsi="Courier New" w:cs="Courier New"/>
          <w:sz w:val="24"/>
          <w:szCs w:val="24"/>
        </w:rPr>
      </w:pPr>
    </w:p>
    <w:p>
      <w:pPr>
        <w:pStyle w:val="P3"/>
        <w:ind w:left="709"/>
        <w:jc w:val="both"/>
        <w:rPr>
          <w:rFonts w:ascii="Courier New" w:hAnsi="Courier New" w:cs="Courier New"/>
        </w:rPr>
      </w:pPr>
      <w:r>
        <w:rPr>
          <w:rFonts w:ascii="Courier New" w:hAnsi="Courier New" w:cs="Courier New"/>
        </w:rPr>
        <w:t xml:space="preserve">Que el mismo es iniciado mediante nota presentada por el Sr. José Manuel Moreno solicitando eximición de Tasa por Servicios a la Propiedad del inmueble designación catastral 04-01-040-001 y Tasa por Servicios de Administración y Mantenimiento de los Cementerios por la Identificación Nº 8141;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por Resoluciones de Dirección de Ingresos Públicos ha sido eximido en ambos conceptos hasta el año 2003 inclusive;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ante un nuevo pedido del solicitante (Fs. 27), se realiza actualización del estudio socioeconómico (Fs.32);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solicitante manifiesta voluntad de pago dentro de sus posibilidades; </w:t>
      </w:r>
    </w:p>
    <w:p>
      <w:pPr>
        <w:pStyle w:val="P3"/>
        <w:ind w:left="709"/>
        <w:jc w:val="both"/>
        <w:rPr>
          <w:rFonts w:ascii="Courier New" w:hAnsi="Courier New" w:cs="Courier New"/>
        </w:rPr>
      </w:pPr>
    </w:p>
    <w:p>
      <w:pPr>
        <w:pStyle w:val="P3"/>
        <w:ind w:left="709"/>
        <w:jc w:val="both"/>
        <w:rPr>
          <w:rFonts w:ascii="Courier New" w:hAnsi="Courier New"/>
        </w:rPr>
      </w:pPr>
      <w:r>
        <w:rPr>
          <w:rFonts w:ascii="Courier New" w:hAnsi="Courier New"/>
        </w:rPr>
        <w:t>Que evaluado el contenido del Expediente mencionado por Comisión de Hacienda, la misma emite despacho en el marco de las Ordenanzas vigentes, despacho aprobado por unanimidad en Sesión Ordinaria de fecha 25 de Octubre de 2007.</w:t>
      </w:r>
    </w:p>
    <w:p>
      <w:pPr>
        <w:pStyle w:val="P3"/>
        <w:ind w:left="0"/>
        <w:jc w:val="both"/>
        <w:rPr>
          <w:rFonts w:ascii="Courier New" w:hAnsi="Courier New"/>
        </w:rPr>
      </w:pP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ind w:hanging="709" w:left="709"/>
        <w:jc w:val="both"/>
        <w:rPr>
          <w:rFonts w:ascii="Courier New" w:hAnsi="Courier New" w:cs="Courier New"/>
          <w:b w:val="1"/>
          <w:bCs w:val="1"/>
          <w:u w:val="single"/>
        </w:rPr>
      </w:pPr>
    </w:p>
    <w:p>
      <w:pPr>
        <w:pStyle w:val="P3"/>
        <w:ind w:hanging="709" w:left="709"/>
        <w:jc w:val="both"/>
        <w:rPr>
          <w:rFonts w:ascii="Courier New" w:hAnsi="Courier New" w:cs="Courier New"/>
          <w:b w:val="1"/>
          <w:bCs w:val="1"/>
          <w:u w:val="single"/>
        </w:rPr>
      </w:pPr>
    </w:p>
    <w:p>
      <w:pPr>
        <w:pStyle w:val="P3"/>
        <w:ind w:hanging="709" w:left="709"/>
        <w:jc w:val="both"/>
        <w:rPr>
          <w:rFonts w:ascii="Courier New" w:hAnsi="Courier New" w:cs="Courier New"/>
          <w:b w:val="1"/>
          <w:bCs w:val="1"/>
        </w:rPr>
      </w:pPr>
      <w:r>
        <w:rPr>
          <w:rFonts w:ascii="Courier New" w:hAnsi="Courier New" w:cs="Courier New"/>
          <w:b w:val="1"/>
          <w:bCs w:val="1"/>
          <w:u w:val="single"/>
        </w:rPr>
        <w:t>Art.1</w:t>
      </w:r>
      <w:r>
        <w:rPr>
          <w:rFonts w:ascii="Courier New" w:hAnsi="Courier New" w:cs="Courier New"/>
          <w:b w:val="1"/>
          <w:bCs w:val="1"/>
        </w:rPr>
        <w:t>:</w:t>
      </w:r>
      <w:r>
        <w:rPr>
          <w:rFonts w:ascii="Courier New" w:hAnsi="Courier New" w:cs="Courier New"/>
          <w:b w:val="1"/>
          <w:bCs w:val="1"/>
        </w:rPr>
        <w:t xml:space="preserve"> FÍJASE</w:t>
      </w:r>
      <w:r>
        <w:rPr>
          <w:rFonts w:ascii="Courier New" w:hAnsi="Courier New" w:cs="Courier New"/>
        </w:rPr>
        <w:t xml:space="preserve"> una cuota mensual de diez pesos ($10.-) a abonar en concepto de Tasa por Servicios a la Propiedad correspondiente al inmueble designación catastral 04-01-040-001 a partir de la promulgación de la presente Ordenanza y hasta diciembre de 2008 inclusive.</w:t>
      </w:r>
    </w:p>
    <w:p>
      <w:pPr>
        <w:pStyle w:val="P3"/>
        <w:ind w:hanging="709" w:left="709"/>
        <w:jc w:val="right"/>
        <w:rPr>
          <w:rFonts w:ascii="Courier New" w:hAnsi="Courier New" w:cs="Courier New"/>
        </w:rPr>
      </w:pPr>
    </w:p>
    <w:p>
      <w:pPr>
        <w:pStyle w:val="P3"/>
        <w:ind w:hanging="709" w:left="709"/>
        <w:jc w:val="right"/>
        <w:rPr>
          <w:rFonts w:ascii="Courier New" w:hAnsi="Courier New" w:cs="Courier New"/>
        </w:rPr>
      </w:pPr>
      <w:r>
        <w:rPr>
          <w:rFonts w:ascii="Courier New" w:hAnsi="Courier New" w:cs="Courier New"/>
        </w:rPr>
        <w:t>...///</w:t>
      </w:r>
    </w:p>
    <w:p>
      <w:pPr>
        <w:pStyle w:val="P3"/>
        <w:ind w:hanging="709" w:left="709"/>
        <w:jc w:val="both"/>
        <w:rPr>
          <w:rFonts w:ascii="Courier New" w:hAnsi="Courier New" w:cs="Courier New"/>
          <w:b w:val="1"/>
          <w:bCs w:val="1"/>
        </w:rPr>
      </w:pPr>
    </w:p>
    <w:p>
      <w:pPr>
        <w:pStyle w:val="P3"/>
        <w:ind w:hanging="709" w:left="709"/>
        <w:jc w:val="both"/>
        <w:rPr>
          <w:rFonts w:ascii="Courier New" w:hAnsi="Courier New" w:cs="Courier New"/>
          <w:b w:val="1"/>
          <w:bCs w:val="1"/>
        </w:rPr>
      </w:pPr>
    </w:p>
    <w:p>
      <w:pPr>
        <w:pStyle w:val="P3"/>
        <w:ind w:hanging="709" w:left="709"/>
        <w:jc w:val="both"/>
        <w:rPr>
          <w:rFonts w:ascii="Courier New" w:hAnsi="Courier New" w:cs="Courier New"/>
          <w:b w:val="1"/>
          <w:bCs w:val="1"/>
        </w:rPr>
      </w:pPr>
    </w:p>
    <w:p>
      <w:pPr>
        <w:pStyle w:val="P3"/>
        <w:ind w:hanging="709" w:left="709"/>
        <w:jc w:val="both"/>
        <w:rPr>
          <w:rFonts w:ascii="Courier New" w:hAnsi="Courier New" w:cs="Courier New"/>
          <w:b w:val="1"/>
          <w:bCs w:val="1"/>
        </w:rPr>
      </w:pPr>
    </w:p>
    <w:p>
      <w:pPr>
        <w:pStyle w:val="P3"/>
        <w:ind w:hanging="709" w:left="709"/>
        <w:jc w:val="both"/>
        <w:rPr>
          <w:rFonts w:ascii="Courier New" w:hAnsi="Courier New" w:cs="Courier New"/>
          <w:b w:val="1"/>
          <w:bCs w:val="1"/>
        </w:rPr>
      </w:pPr>
    </w:p>
    <w:p>
      <w:pPr>
        <w:pStyle w:val="P3"/>
        <w:ind w:hanging="709" w:left="709"/>
        <w:jc w:val="both"/>
        <w:rPr>
          <w:rFonts w:ascii="Courier New" w:hAnsi="Courier New" w:cs="Courier New"/>
          <w:b w:val="1"/>
          <w:bCs w:val="1"/>
        </w:rPr>
      </w:pPr>
    </w:p>
    <w:p>
      <w:pPr>
        <w:pStyle w:val="P3"/>
        <w:ind w:hanging="709" w:left="709"/>
        <w:jc w:val="both"/>
        <w:rPr>
          <w:rFonts w:ascii="Courier New" w:hAnsi="Courier New" w:cs="Courier New"/>
        </w:rPr>
      </w:pPr>
      <w:r>
        <w:rPr>
          <w:rFonts w:ascii="Courier New" w:hAnsi="Courier New" w:cs="Courier New"/>
        </w:rPr>
        <w:t>...///2.-</w:t>
      </w:r>
    </w:p>
    <w:p>
      <w:pPr>
        <w:pStyle w:val="P3"/>
        <w:ind w:hanging="709" w:left="709"/>
        <w:jc w:val="both"/>
        <w:rPr>
          <w:rFonts w:ascii="Courier New" w:hAnsi="Courier New" w:cs="Courier New"/>
          <w:b w:val="1"/>
          <w:bCs w:val="1"/>
        </w:rPr>
      </w:pPr>
    </w:p>
    <w:p>
      <w:pPr>
        <w:pStyle w:val="P3"/>
        <w:ind w:hanging="709" w:left="709"/>
        <w:jc w:val="both"/>
        <w:rPr>
          <w:rFonts w:ascii="Courier New" w:hAnsi="Courier New" w:cs="Courier New"/>
          <w:b w:val="1"/>
          <w:bCs w:val="1"/>
        </w:rPr>
      </w:pPr>
      <w:r>
        <w:rPr>
          <w:rFonts w:ascii="Courier New" w:hAnsi="Courier New" w:cs="Courier New"/>
          <w:b w:val="1"/>
          <w:bCs w:val="1"/>
          <w:u w:val="single"/>
        </w:rPr>
        <w:t>Art.2</w:t>
      </w:r>
      <w:r>
        <w:rPr>
          <w:rFonts w:ascii="Courier New" w:hAnsi="Courier New" w:cs="Courier New"/>
          <w:b w:val="1"/>
          <w:bCs w:val="1"/>
        </w:rPr>
        <w:t xml:space="preserve">: EXÍMASE </w:t>
      </w:r>
      <w:r>
        <w:rPr>
          <w:rFonts w:ascii="Courier New" w:hAnsi="Courier New" w:cs="Courier New"/>
        </w:rPr>
        <w:t>por cada cuota abonada en término una (1) cuota de la deuda en concepto de Tasa por Servicios a la Propiedad.</w:t>
      </w:r>
    </w:p>
    <w:p>
      <w:pPr>
        <w:pStyle w:val="P3"/>
        <w:ind w:hanging="709" w:left="709"/>
        <w:jc w:val="both"/>
        <w:rPr>
          <w:rFonts w:ascii="Courier New" w:hAnsi="Courier New" w:cs="Courier New"/>
          <w:b w:val="1"/>
          <w:bCs w:val="1"/>
          <w:caps w:val="1"/>
        </w:rPr>
      </w:pPr>
    </w:p>
    <w:p>
      <w:pPr>
        <w:pStyle w:val="P4"/>
        <w:ind w:hanging="709" w:left="709"/>
        <w:jc w:val="both"/>
        <w:outlineLvl w:val="0"/>
        <w:rPr>
          <w:rFonts w:ascii="Courier New" w:hAnsi="Courier New" w:cs="Courier New"/>
          <w:b w:val="1"/>
          <w:bCs w:val="1"/>
          <w:caps w:val="1"/>
        </w:rPr>
      </w:pPr>
      <w:r>
        <w:rPr>
          <w:rFonts w:ascii="Courier New" w:hAnsi="Courier New" w:cs="Courier New"/>
          <w:b w:val="1"/>
          <w:bCs w:val="1"/>
          <w:caps w:val="1"/>
          <w:u w:val="single"/>
        </w:rPr>
        <w:t>a</w:t>
      </w:r>
      <w:r>
        <w:rPr>
          <w:rFonts w:ascii="Courier New" w:hAnsi="Courier New" w:cs="Courier New"/>
          <w:b w:val="1"/>
          <w:bCs w:val="1"/>
          <w:u w:val="single"/>
        </w:rPr>
        <w:t>rt</w:t>
      </w:r>
      <w:r>
        <w:rPr>
          <w:rFonts w:ascii="Courier New" w:hAnsi="Courier New" w:cs="Courier New"/>
          <w:b w:val="1"/>
          <w:bCs w:val="1"/>
          <w:caps w:val="1"/>
          <w:u w:val="single"/>
        </w:rPr>
        <w:t>.3</w:t>
      </w:r>
      <w:r>
        <w:rPr>
          <w:rFonts w:ascii="Courier New" w:hAnsi="Courier New" w:cs="Courier New"/>
          <w:b w:val="1"/>
          <w:bCs w:val="1"/>
          <w:caps w:val="1"/>
        </w:rPr>
        <w:t xml:space="preserve">: </w:t>
      </w:r>
      <w:r>
        <w:rPr>
          <w:rFonts w:ascii="Courier New" w:hAnsi="Courier New" w:cs="Courier New"/>
          <w:b w:val="1"/>
          <w:bCs w:val="1"/>
        </w:rPr>
        <w:t>EXÍMASE</w:t>
      </w:r>
      <w:r>
        <w:rPr>
          <w:rFonts w:ascii="Courier New" w:hAnsi="Courier New" w:cs="Courier New"/>
        </w:rPr>
        <w:t xml:space="preserve"> por cada cuota abonada en término de la Tasa por Servicios de Administración y Mantenimiento de los Cementerios correspondiente a la Identificación Nº 8141, una (1) cuota de la deuda.</w:t>
      </w:r>
    </w:p>
    <w:p>
      <w:pPr>
        <w:pStyle w:val="P4"/>
        <w:ind w:hanging="709" w:left="709"/>
        <w:jc w:val="both"/>
        <w:outlineLvl w:val="0"/>
        <w:rPr>
          <w:rFonts w:ascii="Courier New" w:hAnsi="Courier New" w:cs="Courier New"/>
          <w:b w:val="1"/>
          <w:bCs w:val="1"/>
          <w:caps w:val="1"/>
        </w:rPr>
      </w:pPr>
    </w:p>
    <w:p>
      <w:pPr>
        <w:pStyle w:val="P4"/>
        <w:ind w:hanging="709" w:left="709"/>
        <w:jc w:val="both"/>
        <w:outlineLvl w:val="0"/>
        <w:rPr>
          <w:rFonts w:ascii="Courier New" w:hAnsi="Courier New" w:cs="Courier New"/>
        </w:rPr>
      </w:pPr>
      <w:r>
        <w:rPr>
          <w:rFonts w:ascii="Courier New" w:hAnsi="Courier New" w:cs="Courier New"/>
          <w:b w:val="1"/>
          <w:bCs w:val="1"/>
          <w:caps w:val="1"/>
          <w:u w:val="single"/>
        </w:rPr>
        <w:t>art.4</w:t>
      </w:r>
      <w:r>
        <w:rPr>
          <w:rFonts w:ascii="Courier New" w:hAnsi="Courier New" w:cs="Courier New"/>
          <w:b w:val="1"/>
          <w:bCs w:val="1"/>
          <w:caps w:val="1"/>
        </w:rPr>
        <w:t xml:space="preserve">: CADÚQUENSE </w:t>
      </w:r>
      <w:r>
        <w:rPr>
          <w:rFonts w:ascii="Courier New" w:hAnsi="Courier New" w:cs="Courier New"/>
        </w:rPr>
        <w:t>los beneficios otorgados en caso de falta de pago de dos (2) cuotas consecutivas o cinco (5) alternadas.</w:t>
      </w:r>
    </w:p>
    <w:p>
      <w:pPr>
        <w:pStyle w:val="P4"/>
        <w:ind w:hanging="709" w:left="709"/>
        <w:jc w:val="both"/>
        <w:outlineLvl w:val="0"/>
        <w:rPr>
          <w:rFonts w:ascii="Courier New" w:hAnsi="Courier New" w:cs="Courier New"/>
          <w:b w:val="1"/>
          <w:bCs w:val="1"/>
        </w:rPr>
      </w:pPr>
    </w:p>
    <w:p>
      <w:pPr>
        <w:pStyle w:val="P4"/>
        <w:ind w:hanging="709" w:left="709"/>
        <w:jc w:val="both"/>
        <w:outlineLvl w:val="0"/>
        <w:rPr>
          <w:rFonts w:ascii="Courier New" w:hAnsi="Courier New"/>
        </w:rPr>
      </w:pPr>
      <w:r>
        <w:rPr>
          <w:rFonts w:ascii="Courier New" w:hAnsi="Courier New" w:cs="Courier New"/>
          <w:b w:val="1"/>
          <w:bCs w:val="1"/>
          <w:u w:val="single"/>
          <w:lang w:val="es-ES"/>
        </w:rPr>
        <w:t>Art.5</w:t>
      </w:r>
      <w:r>
        <w:rPr>
          <w:rFonts w:ascii="Courier New" w:hAnsi="Courier New" w:cs="Courier New"/>
          <w:b w:val="1"/>
          <w:bCs w:val="1"/>
          <w:lang w:val="es-ES"/>
        </w:rPr>
        <w:t xml:space="preserve">: </w:t>
      </w:r>
      <w:r>
        <w:rPr>
          <w:rFonts w:ascii="Courier New" w:hAnsi="Courier New" w:cs="Courier New"/>
          <w:b w:val="1"/>
          <w:bCs w:val="1"/>
        </w:rPr>
        <w:t>PROTOCOLÍCESE</w:t>
      </w:r>
      <w:r>
        <w:rPr>
          <w:rFonts w:ascii="Courier New" w:hAnsi="Courier New" w:cs="Courier New"/>
        </w:rPr>
        <w:t>, comuníquese, publíquese en el Boletín Oficial de la Ciudad de Alta Gracia, transcríbase al libro de Ordenanzas y Archívese.</w:t>
      </w:r>
    </w:p>
    <w:p>
      <w:pPr>
        <w:pStyle w:val="P5"/>
        <w:ind w:hanging="709" w:left="709"/>
        <w:jc w:val="both"/>
        <w:rPr>
          <w:b w:val="1"/>
          <w:bCs w:val="1"/>
          <w:sz w:val="24"/>
          <w:szCs w:val="24"/>
          <w:u w:val="single"/>
          <w:lang/>
        </w:rPr>
      </w:pPr>
    </w:p>
    <w:p>
      <w:pPr>
        <w:pStyle w:val="P5"/>
        <w:ind w:hanging="709" w:left="709"/>
        <w:jc w:val="both"/>
        <w:rPr>
          <w:sz w:val="24"/>
          <w:szCs w:val="24"/>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VEINTICINCO DÍAS DEL MES DE OCTUBRE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2026-07-09T18:47:42Z</dcterms:created>
  <cp:lastModifiedBy>Federico Parisi</cp:lastModifiedBy>
  <cp:lastPrinted>2007-11-15T14:06:00Z</cp:lastPrinted>
  <dcterms:modified xsi:type="dcterms:W3CDTF">2026-07-09T18:47:42Z</dcterms:modified>
  <cp:revision>2</cp:revision>
  <dc:title>P R O Y E C T O   D E   O R D E N A N Z A</dc:title>
</cp:coreProperties>
</file>