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p>
    <w:p>
      <w:pPr>
        <w:pStyle w:val="P2"/>
      </w:pPr>
      <w:r>
        <w:t>ORDENANZA Nº 7877</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rPr>
          <w:rFonts w:ascii="Courier New" w:hAnsi="Courier New" w:cs="Courier New"/>
          <w:sz w:val="24"/>
          <w:szCs w:val="24"/>
          <w:lang w:val="es-MX"/>
        </w:rPr>
      </w:pPr>
      <w:r>
        <w:rPr>
          <w:rFonts w:ascii="Courier New" w:hAnsi="Courier New" w:cs="Courier New"/>
          <w:sz w:val="24"/>
          <w:szCs w:val="24"/>
          <w:lang w:val="es-MX"/>
        </w:rPr>
        <w:t>Vistos: El Expediente Nº 1453/05</w:t>
      </w:r>
      <w:r>
        <w:rPr>
          <w:rFonts w:ascii="Courier New" w:hAnsi="Courier New" w:cs="Courier New"/>
          <w:sz w:val="24"/>
          <w:szCs w:val="24"/>
        </w:rPr>
        <w:t xml:space="preserve"> y nota de la Sra. Parisato Beatriz Amelia</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mediante el mismo solicita eximición del pago por Obra de Pavimentación por la deuda que registra con el municipio la designación catastral 4-01-084-018-000-00030;</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Fs. 6 (vuelta), del informe socioeconómico se detalla que se trata de una familia compuesta por el matrimonio y 3 hijos menores, el esposo de la solicitante realiza trabajos esporádicos con ingresos económicos inestables y tiene a su cuidado un hermano discapacitado quien tiene una pensión de trescientos cincuenta y cinco pesos ($355.-) (en abril de 2006);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en representación de la solicitante, su mamá se hizo presente a fin de dialogar con los miembros de la Comisión de Hacienda para proponer el pago de su deuda con el Municipio por Obra de Pavimentación mediante un Plan de Pagos de cuarenta pesos ($40.-) cada cuota;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25 de Octubre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rPr>
          <w:rFonts w:ascii="Courier New" w:hAnsi="Courier New" w:cs="Courier New"/>
          <w:sz w:val="24"/>
          <w:szCs w:val="24"/>
        </w:rPr>
      </w:pPr>
    </w:p>
    <w:p>
      <w:pPr>
        <w:jc w:val="right"/>
        <w:rPr>
          <w:rFonts w:ascii="Courier New" w:hAnsi="Courier New" w:cs="Courier New"/>
          <w:sz w:val="24"/>
          <w:szCs w:val="24"/>
        </w:rPr>
      </w:pPr>
    </w:p>
    <w:p>
      <w:pPr>
        <w:jc w:val="right"/>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DÉJASE</w:t>
      </w:r>
      <w:r>
        <w:rPr>
          <w:rFonts w:ascii="Courier New" w:hAnsi="Courier New" w:cs="Courier New"/>
          <w:sz w:val="24"/>
          <w:szCs w:val="24"/>
        </w:rPr>
        <w:t xml:space="preserve"> sin efecto el Plan de Pagos de financiación de pavimento de 24 cuotas Identificación Nº 1479.</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AUTORÍZASE</w:t>
      </w:r>
      <w:r>
        <w:rPr>
          <w:rFonts w:ascii="Courier New" w:hAnsi="Courier New" w:cs="Courier New"/>
          <w:sz w:val="24"/>
          <w:szCs w:val="24"/>
        </w:rPr>
        <w:t xml:space="preserve"> al Departamento Ejecutivo a realizar un Plan de Pagos por la deuda a Valores Históricos que mantiene la designación catastral 4-01-084-018-000-00030 con el Municipio con cuotas mensuales de cuarenta pesos ($40.-) en concepto de Contribución por Obra de Pavimento.</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Courier New"/>
          <w:sz w:val="24"/>
          <w:szCs w:val="24"/>
        </w:rPr>
        <w:t xml:space="preserve"> </w:t>
      </w:r>
      <w:r>
        <w:rPr>
          <w:rFonts w:ascii="Courier New" w:hAnsi="Courier New" w:cs="Courier New"/>
          <w:b w:val="1"/>
          <w:bCs w:val="1"/>
          <w:caps w:val="1"/>
          <w:sz w:val="24"/>
          <w:szCs w:val="24"/>
        </w:rPr>
        <w:t>CADÚQUESE</w:t>
      </w:r>
      <w:r>
        <w:rPr>
          <w:rFonts w:ascii="Courier New" w:hAnsi="Courier New" w:cs="Courier New"/>
          <w:caps w:val="1"/>
          <w:sz w:val="24"/>
          <w:szCs w:val="24"/>
        </w:rPr>
        <w:t xml:space="preserve"> </w:t>
      </w:r>
      <w:r>
        <w:rPr>
          <w:rFonts w:ascii="Courier New" w:hAnsi="Courier New" w:cs="Courier New"/>
          <w:sz w:val="24"/>
          <w:szCs w:val="24"/>
        </w:rPr>
        <w:t>en forma automática el beneficio otorgado al observar mora de 3 o más cuotas consecutivas, como así también en caso de venta o cambio de titularidad.</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VEINTICINCO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2026-07-09T18:47:19Z</dcterms:created>
  <cp:lastModifiedBy>Federico Parisi</cp:lastModifiedBy>
  <cp:lastPrinted>2007-11-15T14:17:00Z</cp:lastPrinted>
  <dcterms:modified xsi:type="dcterms:W3CDTF">2026-07-09T18:47:19Z</dcterms:modified>
  <cp:revision>2</cp:revision>
  <dc:title>P R O Y E C T O   D E   O R D E N A N Z A</dc:title>
</cp:coreProperties>
</file>