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7878</w:t>
      </w:r>
    </w:p>
    <w:p>
      <w:pPr>
        <w:rPr>
          <w:rFonts w:ascii="Courier New" w:hAnsi="Courier New" w:cs="Courier New"/>
          <w:sz w:val="24"/>
          <w:szCs w:val="24"/>
          <w:lang w:val="es-MX"/>
        </w:rPr>
      </w:pPr>
    </w:p>
    <w:p>
      <w:pPr>
        <w:rPr>
          <w:rFonts w:ascii="Courier New" w:hAnsi="Courier New" w:cs="Courier New"/>
          <w:sz w:val="24"/>
          <w:szCs w:val="24"/>
          <w:lang w:val="es-MX"/>
        </w:rPr>
      </w:pPr>
    </w:p>
    <w:p>
      <w:pPr>
        <w:rPr>
          <w:rFonts w:ascii="Courier New" w:hAnsi="Courier New" w:cs="Courier New"/>
          <w:sz w:val="24"/>
          <w:szCs w:val="24"/>
          <w:lang w:val="es-MX"/>
        </w:rPr>
      </w:pPr>
      <w:r>
        <w:rPr>
          <w:rFonts w:ascii="Courier New" w:hAnsi="Courier New" w:cs="Courier New"/>
          <w:sz w:val="24"/>
          <w:szCs w:val="24"/>
          <w:lang w:val="es-MX"/>
        </w:rPr>
        <w:t>Visto: El Expediente Nº 2469/04;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mismo es iniciado por la Sra. Filippo Rosa del Valle, D.N.I. Nº 12.874.781 donde solicita a noviembre de 2004 eximición de deuda por Inhumación de la Identificación Nº 6042;</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deuda es por Tasa por Servicios de Administración y Mantenimiento de los Cementerios desde el año 2005 y también por Introducción y Concesión de Uso;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estudio socioeconómico informa que el marido de la solicitante está imposibilitado para trabajar y el ingreso económico es aportado por sus 2 hijos a través de trabajos esporádicos y por la solicitante a través de un Plan de Jefes y Jefas de Hogar Desocupados;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 julio de 2007 el Sr. Cardozo Juan Domingo percibe una pensión de trescientos cincuenta y nueve pesos ($359.-) como así también un módulo alimentario;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se presentó la solicitante a dialogar con los miembros de la Comisión de Hacienda aclarando aspectos relacionados con la información obrante, manifestando además su voluntad de pago;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25 de Octubre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jc w:val="right"/>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a realizar un Plan de Pagos por la deuda que registra la Identificación Nº 6042 en concepto de Tasa por Servicios de Administración y Mantenimiento y de los Cementerios a la promulgación de la presente Ordenanza con cuotas mensuales de cinco pesos ($5.-).</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EXÍMASE</w:t>
      </w:r>
      <w:r>
        <w:rPr>
          <w:rFonts w:ascii="Courier New" w:hAnsi="Courier New" w:cs="Courier New"/>
          <w:sz w:val="24"/>
          <w:szCs w:val="24"/>
        </w:rPr>
        <w:t xml:space="preserve"> en un cien por cien (100%) la deuda que registra la Identificación Nº 6042 en concepto de Inhumación y Concesión de Uso.</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w:t>
      </w:r>
      <w:r>
        <w:rPr>
          <w:rFonts w:ascii="Courier New" w:hAnsi="Courier New" w:cs="Courier New"/>
          <w:sz w:val="24"/>
          <w:szCs w:val="24"/>
        </w:rPr>
        <w:t xml:space="preserve"> </w:t>
      </w:r>
      <w:r>
        <w:rPr>
          <w:rFonts w:ascii="Courier New" w:hAnsi="Courier New" w:cs="Courier New"/>
          <w:b w:val="1"/>
          <w:bCs w:val="1"/>
          <w:caps w:val="1"/>
          <w:sz w:val="24"/>
          <w:szCs w:val="24"/>
        </w:rPr>
        <w:t>CADÚQUESE</w:t>
      </w:r>
      <w:r>
        <w:rPr>
          <w:rFonts w:ascii="Courier New" w:hAnsi="Courier New" w:cs="Courier New"/>
          <w:caps w:val="1"/>
          <w:sz w:val="24"/>
          <w:szCs w:val="24"/>
        </w:rPr>
        <w:t xml:space="preserve"> </w:t>
      </w:r>
      <w:r>
        <w:rPr>
          <w:rFonts w:ascii="Courier New" w:hAnsi="Courier New" w:cs="Courier New"/>
          <w:sz w:val="24"/>
          <w:szCs w:val="24"/>
        </w:rPr>
        <w:t>en forma automática el beneficio otorgado en caso de registrarse cuotas impagas del Plan de Pagos otorgado o de la Tasa actual de Tasa por Servicios de Administración y Mantenimiento de los Cementerios.</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VEINTICINCO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2026-07-09T18:47:11Z</dcterms:created>
  <cp:lastModifiedBy>Federico Parisi</cp:lastModifiedBy>
  <cp:lastPrinted>2007-10-31T16:32:00Z</cp:lastPrinted>
  <dcterms:modified xsi:type="dcterms:W3CDTF">2026-07-09T18:47:11Z</dcterms:modified>
  <cp:revision>2</cp:revision>
  <dc:title>P R O Y E C T O   D E   O R D E N A N Z A</dc:title>
</cp:coreProperties>
</file>