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7885</w:t>
      </w:r>
    </w:p>
    <w:p>
      <w:pPr>
        <w:rPr>
          <w:rFonts w:ascii="Courier New" w:hAnsi="Courier New" w:cs="Courier New"/>
          <w:sz w:val="24"/>
          <w:szCs w:val="24"/>
          <w:lang w:val="es-MX"/>
        </w:rPr>
      </w:pPr>
    </w:p>
    <w:p>
      <w:pPr>
        <w:rPr>
          <w:rFonts w:ascii="Courier New" w:hAnsi="Courier New" w:cs="Courier New"/>
          <w:sz w:val="24"/>
          <w:szCs w:val="24"/>
          <w:lang w:val="es-MX"/>
        </w:rPr>
      </w:pPr>
    </w:p>
    <w:p>
      <w:pPr>
        <w:jc w:val="both"/>
        <w:rPr>
          <w:rFonts w:ascii="Courier New" w:hAnsi="Courier New" w:cs="Courier New"/>
          <w:sz w:val="24"/>
          <w:szCs w:val="24"/>
          <w:lang w:val="es-MX"/>
        </w:rPr>
      </w:pPr>
      <w:r>
        <w:rPr>
          <w:rFonts w:ascii="Courier New" w:hAnsi="Courier New" w:cs="Courier New"/>
          <w:sz w:val="24"/>
          <w:szCs w:val="24"/>
          <w:lang w:val="es-MX"/>
        </w:rPr>
        <w:t xml:space="preserve">Visto: El Expediente Nº </w:t>
      </w:r>
      <w:r>
        <w:rPr>
          <w:rFonts w:ascii="Courier New" w:hAnsi="Courier New" w:cs="Courier New"/>
          <w:sz w:val="24"/>
          <w:szCs w:val="24"/>
        </w:rPr>
        <w:t>186/02</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la Sra. Lucila Dora Carreño donde mediante nota manifiesta su imposibilidad de abonar las deudas que posee con el Municipio;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registra deuda de Tasa por Servicios a la Propiedad, Cementerios y Asfalto;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la fecha su situación socioeconómica ha variado sustancialmente según se desprende de los informes a Fs. 30 y 42;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la actualidad no percibe ingreso monetario estable pues su marido ha fallecido en febrero de 2007 y según la solicitante todavía no le ha llegado una pensión (hay certificado de defunción a Fs. 64);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agosto de 2007 presenta una nueva nota solicitando traslado de 2 Identificaciones a una única sepultura;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además manifiesta voluntad de pago adjuntando últimos recibos de Tasa por Servicios a la Propiedad y Cementerio abonados;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hay información actualizada de Dirección de Ingresos Públicos que sería errónea o incompleta;</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para las Identificaciones 3555 y 575</w:t>
      </w:r>
      <w:r>
        <w:rPr>
          <w:rFonts w:ascii="Courier New" w:hAnsi="Courier New" w:cs="Courier New"/>
        </w:rPr>
        <w:t xml:space="preserve"> </w:t>
      </w:r>
      <w:r>
        <w:rPr>
          <w:rFonts w:ascii="Courier New" w:hAnsi="Courier New" w:cs="Courier New"/>
          <w:sz w:val="24"/>
          <w:szCs w:val="24"/>
        </w:rPr>
        <w:t>un Plan de Pagos por las deudas que registran a octubre de 2007 a Valores Históricos en concepto de Tasa por Servicios de Administración y Mantenimiento de los Cementerios con cuotas mensuales de diez pesos ($10.-) cada una.</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EXÍMASE</w:t>
      </w:r>
      <w:r>
        <w:rPr>
          <w:rFonts w:ascii="Courier New" w:hAnsi="Courier New" w:cs="Courier New"/>
          <w:sz w:val="24"/>
          <w:szCs w:val="24"/>
        </w:rPr>
        <w:t xml:space="preserve"> a los responsables de las Identificaciones 3555 y 575 del pago de traslado a una misma sepultura de dichas identificaciones, autorizando el respectivo traslado.</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con cuotas mensuales de diez pesos ($10.-) en concepto de Tasa por Servicios a la Propiedad por la deuda que registra a octubre de 2007 a Valores Históricos la designación catastral 4-01-105-005-000.</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caps w:val="1"/>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SOLICÍTASE</w:t>
      </w:r>
      <w:r>
        <w:rPr>
          <w:rFonts w:ascii="Courier New" w:hAnsi="Courier New" w:cs="Courier New"/>
          <w:sz w:val="24"/>
          <w:szCs w:val="24"/>
        </w:rPr>
        <w:t xml:space="preserve"> al Departamento Ejecutivo que interceda ante el procurador actuante a fin de dejar sin efecto juicios y honorarios devengados por las deudas que registran las identificaciones 3555 y 575 y la designación catastral 4-01-105-005-000.</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caps w:val="1"/>
          <w:sz w:val="24"/>
          <w:szCs w:val="24"/>
          <w:u w:val="single"/>
        </w:rPr>
        <w:t>Art.5</w:t>
      </w:r>
      <w:r>
        <w:rPr>
          <w:rFonts w:ascii="Courier New" w:hAnsi="Courier New" w:cs="Courier New"/>
          <w:b w:val="1"/>
          <w:bCs w:val="1"/>
          <w:cap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2026-07-09T18:46:06Z</dcterms:created>
  <cp:lastModifiedBy>Federico Parisi</cp:lastModifiedBy>
  <cp:lastPrinted>2007-11-15T15:07:00Z</cp:lastPrinted>
  <dcterms:modified xsi:type="dcterms:W3CDTF">2026-07-09T18:46:06Z</dcterms:modified>
  <cp:revision>2</cp:revision>
  <dc:title>P R O Y E C T O   D E   O R D E N A N Z A</dc:title>
</cp:coreProperties>
</file>