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7896</w:t>
      </w:r>
    </w:p>
    <w:p>
      <w:pPr>
        <w:rPr>
          <w:rFonts w:ascii="Courier New" w:hAnsi="Courier New" w:cs="Courier New"/>
          <w:sz w:val="24"/>
          <w:szCs w:val="24"/>
          <w:lang w:val="es-MX"/>
        </w:rPr>
      </w:pPr>
    </w:p>
    <w:p>
      <w:pPr>
        <w:rPr>
          <w:rFonts w:ascii="Courier New" w:hAnsi="Courier New" w:cs="Courier New"/>
          <w:sz w:val="24"/>
          <w:szCs w:val="24"/>
          <w:lang w:val="es-MX"/>
        </w:rPr>
      </w:pPr>
    </w:p>
    <w:p>
      <w:pPr>
        <w:jc w:val="both"/>
        <w:rPr>
          <w:rFonts w:ascii="Courier New" w:hAnsi="Courier New" w:cs="Courier New"/>
          <w:sz w:val="24"/>
          <w:szCs w:val="24"/>
          <w:lang w:val="es-MX"/>
        </w:rPr>
      </w:pPr>
      <w:r>
        <w:rPr>
          <w:rFonts w:ascii="Courier New" w:hAnsi="Courier New" w:cs="Courier New"/>
          <w:sz w:val="24"/>
          <w:szCs w:val="24"/>
          <w:lang w:val="es-MX"/>
        </w:rPr>
        <w:t xml:space="preserve">Visto: </w:t>
      </w:r>
      <w:r>
        <w:rPr>
          <w:rFonts w:ascii="Courier New" w:hAnsi="Courier New" w:cs="Courier New"/>
          <w:sz w:val="24"/>
          <w:szCs w:val="24"/>
        </w:rPr>
        <w:t>El Expediente Nº 401/05</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el mismo es iniciado por los sucesores del Sr. Carlos Gerónimo Missana mediante el cual solicitan se considere la multa que surge luego del relevamiento de su propiedad;</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a Fs. 6 Área de Obras Privadas informa que, con la ampliación realizada en planta alta, la construcción no cumplimenta con el Artículo Nº 242 de la Ordenanza Nº 1294 pues el retiro de medianera es inferior a 3 mts., se aclara además que por estar fuera de Ordenanza debe abonar, a setiembre de 2006, la suma de mil doscientos ochenta y siete pesos ($1287.-);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a Fs. 5, en nota de agosto 2006, los solicitantes manifiestan que el ingreso del núcleo familiar es solamente una jubilación pues dos (2) de los herederos no están trabajando en forma efectiva sino en trabajos temporarios;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estudio socioeconómico a Fs. 16 se realiza en casa de una señora de 94 años en la ciudad de Córdoba, quien sería la madre de la Sra. Eva Ceballos, una de los sucesores de Carlos Missana, se expresa además que la Sra. Ceballos percibe una jubilación como docente y uno de sus hijos un sueldo por trabajo en un colegio secundario de Córdoba Capital;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en octubre de 2007 presentan una nueva nota donde solicitan reconsideración del valor del monto de la multa aplicada, para que resulte accesible abonarla;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la Sra. Ceballos, madre del Sr. Missana, se presentó ante la Comisión de Hacienda aclarando aspectos relacionados con la situación familiar actual propia y de sus hijos y detalles de lo expresado en el estudio socioeconómico; </w:t>
      </w:r>
    </w:p>
    <w:p>
      <w:pPr>
        <w:ind w:left="567"/>
        <w:jc w:val="both"/>
        <w:rPr>
          <w:rFonts w:ascii="Courier New" w:hAnsi="Courier New" w:cs="Courier New"/>
          <w:sz w:val="24"/>
          <w:szCs w:val="24"/>
        </w:rPr>
      </w:pPr>
    </w:p>
    <w:p>
      <w:pPr>
        <w:ind w:left="567"/>
        <w:jc w:val="right"/>
        <w:rPr>
          <w:rFonts w:ascii="Courier New" w:hAnsi="Courier New" w:cs="Courier New"/>
          <w:sz w:val="24"/>
          <w:szCs w:val="24"/>
        </w:rPr>
      </w:pPr>
      <w:r>
        <w:rPr>
          <w:rFonts w:ascii="Courier New" w:hAnsi="Courier New" w:cs="Courier New"/>
          <w:sz w:val="24"/>
          <w:szCs w:val="24"/>
        </w:rPr>
        <w:t>...///</w:t>
      </w:r>
    </w:p>
    <w:p>
      <w:pPr>
        <w:ind w:left="567"/>
        <w:jc w:val="both"/>
        <w:rPr>
          <w:rFonts w:ascii="Courier New" w:hAnsi="Courier New" w:cs="Courier New"/>
          <w:sz w:val="24"/>
          <w:szCs w:val="24"/>
        </w:rPr>
      </w:pPr>
    </w:p>
    <w:p>
      <w:pPr>
        <w:ind w:left="567"/>
        <w:jc w:val="both"/>
        <w:rPr>
          <w:rFonts w:ascii="Courier New" w:hAnsi="Courier New" w:cs="Courier New"/>
          <w:sz w:val="24"/>
          <w:szCs w:val="24"/>
        </w:rPr>
      </w:pPr>
    </w:p>
    <w:p>
      <w:pPr>
        <w:ind w:left="567"/>
        <w:jc w:val="both"/>
        <w:rPr>
          <w:rFonts w:ascii="Courier New" w:hAnsi="Courier New" w:cs="Courier New"/>
          <w:sz w:val="24"/>
          <w:szCs w:val="24"/>
        </w:rPr>
      </w:pPr>
    </w:p>
    <w:p>
      <w:pPr>
        <w:ind w:left="567"/>
        <w:jc w:val="both"/>
        <w:rPr>
          <w:rFonts w:ascii="Courier New" w:hAnsi="Courier New" w:cs="Courier New"/>
          <w:sz w:val="24"/>
          <w:szCs w:val="24"/>
        </w:rPr>
      </w:pPr>
    </w:p>
    <w:p>
      <w:pPr>
        <w:ind w:left="567"/>
        <w:jc w:val="both"/>
        <w:rPr>
          <w:rFonts w:ascii="Courier New" w:hAnsi="Courier New" w:cs="Courier New"/>
          <w:sz w:val="24"/>
          <w:szCs w:val="24"/>
        </w:rPr>
      </w:pPr>
    </w:p>
    <w:p>
      <w:pPr>
        <w:ind w:left="567"/>
        <w:jc w:val="both"/>
        <w:rPr>
          <w:rFonts w:ascii="Courier New" w:hAnsi="Courier New" w:cs="Courier New"/>
          <w:sz w:val="24"/>
          <w:szCs w:val="24"/>
        </w:rPr>
      </w:pPr>
    </w:p>
    <w:p>
      <w:pPr>
        <w:ind w:left="567"/>
        <w:jc w:val="both"/>
        <w:rPr>
          <w:rFonts w:ascii="Courier New" w:hAnsi="Courier New" w:cs="Courier New"/>
          <w:sz w:val="24"/>
          <w:szCs w:val="24"/>
        </w:rPr>
      </w:pPr>
    </w:p>
    <w:p>
      <w:pPr>
        <w:jc w:val="both"/>
        <w:rPr>
          <w:rFonts w:ascii="Courier New" w:hAnsi="Courier New" w:cs="Courier New"/>
          <w:sz w:val="24"/>
          <w:szCs w:val="24"/>
        </w:rPr>
      </w:pPr>
      <w:r>
        <w:rPr>
          <w:rFonts w:ascii="Courier New" w:hAnsi="Courier New" w:cs="Courier New"/>
          <w:sz w:val="24"/>
          <w:szCs w:val="24"/>
        </w:rPr>
        <w:t>...///2.-</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atento a la información obrante y lo conversado con uno de los solicitantes surge la necesidad de proponer un Plan de Pagos acorde a sus posibilidades;</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15 de Noviembre de 2007.</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right"/>
        <w:rPr>
          <w:rFonts w:ascii="Courier New" w:hAnsi="Courier New" w:cs="Courier New"/>
          <w:sz w:val="24"/>
          <w:szCs w:val="24"/>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AUTORÍZASE</w:t>
      </w:r>
      <w:r>
        <w:rPr>
          <w:rFonts w:ascii="Courier New" w:hAnsi="Courier New" w:cs="Courier New"/>
          <w:sz w:val="24"/>
          <w:szCs w:val="24"/>
        </w:rPr>
        <w:t xml:space="preserve"> al Departamento Ejecutivo a realizar un Plan de Pagos por la multa que registra la designación catastral 01-01-096-019-000 por no cumplir con la Ordenanza Nº 1294, Artículo 242 con cuotas mensuales consecutivas que no superen los cien pesos ($100.-) a partir de la promulgación de la presente Ordenanza.</w:t>
      </w: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Courier New"/>
          <w:b w:val="1"/>
          <w:bCs w:val="1"/>
          <w:sz w:val="24"/>
          <w:szCs w:val="24"/>
        </w:rPr>
        <w:t>CADÚQUESE</w:t>
      </w:r>
      <w:r>
        <w:rPr>
          <w:rFonts w:ascii="Courier New" w:hAnsi="Courier New" w:cs="Courier New"/>
          <w:sz w:val="24"/>
          <w:szCs w:val="24"/>
        </w:rPr>
        <w:t xml:space="preserve"> en forma automática el beneficio otorgado en caso de registrarse cuotas impagas de dicho Plan de Pagos. Situación similar si se registra cuotas impagas de la Tasa por Servicios a la Propiedad de dicha designación catastral.</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Art.3</w:t>
      </w:r>
      <w:r>
        <w:rPr>
          <w:rFonts w:ascii="Courier New" w:hAnsi="Courier New" w:cs="Courier New"/>
          <w:b w:val="1"/>
          <w:bCs w:val="1"/>
          <w:sz w:val="24"/>
          <w:szCs w:val="24"/>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QUINCE DÍAS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2026-07-09T18:45:50Z</dcterms:created>
  <cp:lastModifiedBy>Federico Parisi</cp:lastModifiedBy>
  <cp:lastPrinted>2007-11-22T11:18:00Z</cp:lastPrinted>
  <dcterms:modified xsi:type="dcterms:W3CDTF">2026-07-09T18:45:50Z</dcterms:modified>
  <cp:revision>2</cp:revision>
  <dc:title>P R O Y E C T O   D E   O R D E N A N Z A</dc:title>
</cp:coreProperties>
</file>