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7898</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w:t>
      </w:r>
      <w:r>
        <w:rPr>
          <w:rFonts w:ascii="Courier New" w:hAnsi="Courier New" w:cs="Courier New"/>
          <w:sz w:val="24"/>
          <w:szCs w:val="24"/>
        </w:rPr>
        <w:t>El Expediente Nº 1591/06 y la nota de la Sra. Centeno Dina Mercedes</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Sra. Centeno solicita regularizar la deuda con el Municipio de la designación catastral 1-01-032-006-000 de Obra de Gas y Tasa por Servicios a la Propiedad;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Dirección de Ingresos Públicos informa a Fs. 18 que el inmueble se encuentra con parte de la deuda en juicio y que la señora con motivo de solicitar la conexión del servicio de gas natural, ha refinanciado la deuda habiéndose trasladado el cobro de la misma a ECOGAS de acuerdo al convenio vigente;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la solicitante vive con sus hijos de los cuales uno de ellos es discapacitado por lo cual está gestionando un beneficio previsional;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ayuda económica del padre (ex-marido) no es constante;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se presentó para dialogar con los miembros de la Comisión de Hacienda a fin de aclarar algunos aspectos, deseando regularizar la deuda de Tasa por Servicios a la Propiedad mediante un Plan de Pagos con cuotas accesibles a sus posibilidades;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titular del inmueble es el Sr. Centeno José Cipriano, fallecido, la solicitante es hija de él, heredera según consta a Fs. 4, 4 (vuelta), 5, 6, 6 (vuelta) y 7;</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deuda que mantiene la designación catastral 1-01-032-006-000 con el Municipio por Tasa por Servicios a la Propiedad hasta la promulgación de la presente Ordenanza con cuotas mensuales de cuarenta pesos ($40.-), incluyendo en dicha deuda gastos de procuración.</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CADÚQUESE</w:t>
      </w:r>
      <w:r>
        <w:rPr>
          <w:rFonts w:ascii="Courier New" w:hAnsi="Courier New" w:cs="Courier New"/>
          <w:sz w:val="24"/>
          <w:szCs w:val="24"/>
        </w:rPr>
        <w:t xml:space="preserve"> en forma automática el beneficio otorgado al observar mora en 3 o más cuotas consecutivas, como así también en caso de venta, transferencia o cambio de titularidad.</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de dejar sin efecto el juicio iniciado.</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2026-07-09T18:45:32Z</dcterms:created>
  <cp:lastModifiedBy>Federico Parisi</cp:lastModifiedBy>
  <cp:lastPrinted>2007-11-22T12:13:00Z</cp:lastPrinted>
  <dcterms:modified xsi:type="dcterms:W3CDTF">2026-07-09T18:45:32Z</dcterms:modified>
  <cp:revision>2</cp:revision>
  <dc:title>P R O Y E C T O   D E   O R D E N A N Z A</dc:title>
</cp:coreProperties>
</file>