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p>
    <w:p>
      <w:pPr>
        <w:pStyle w:val="P2"/>
      </w:pPr>
      <w:r>
        <w:t>ORDENANZA Nº 7900</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rPr>
        <w:t xml:space="preserve"> Expediente Nº 513/05</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mismo es iniciado en abril de 2005 por la Sra. María Elena Moyano, D.N.I. Nº 23.871.063 solicitando cuota social para el pago de los impuestos;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solicitante no es la titular del inmueble;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Fs. 12 figura solicitud de registro de posesión donde se informa que la solicitante lleva 30 años de posesión continua;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informa a Fs. 20 que la solicitante vive con sus 2 hijos siendo el único ingreso lo que percibe por el programa Plan Familias y algunas horas como empleada doméstica;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fecha no registra deuda por Tasa por Servicios a la Propiedad según informe de Dirección de Ingresos Públicos a Fs. 22;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se presentó a dialogar con los miembros de la Comisión de Hacienda solicitando una cuota acorde a sus posibilidades;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FÍJASE</w:t>
      </w:r>
      <w:r>
        <w:rPr>
          <w:rFonts w:ascii="Courier New" w:hAnsi="Courier New" w:cs="Courier New"/>
          <w:sz w:val="24"/>
          <w:szCs w:val="24"/>
        </w:rPr>
        <w:t xml:space="preserve"> como cuota mensual en concepto de Tasa por Servicios a la Propiedad para la designación catastral 4-01-127-004-000 el valor de cinco pesos ($5.-) a partir de la promulgación de la presente Ordenanza y hasta diciembre de 2008 inclusive debiendo acogerse a las disposiciones que establece la Ordenanza Nº 7710 para estos casos.</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2026-07-09T18:44:39Z</dcterms:created>
  <cp:lastModifiedBy>Federico Parisi</cp:lastModifiedBy>
  <cp:lastPrinted>2007-11-22T12:47:00Z</cp:lastPrinted>
  <dcterms:modified xsi:type="dcterms:W3CDTF">2026-07-09T18:44:39Z</dcterms:modified>
  <cp:revision>2</cp:revision>
  <dc:title>P R O Y E C T O   D E   O R D E N A N Z A</dc:title>
</cp:coreProperties>
</file>