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7915</w:t>
      </w:r>
    </w:p>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395/I/07</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lang w:val="es-AR"/>
        </w:rPr>
        <w:t xml:space="preserve">Que el mismo es iniciado </w:t>
      </w:r>
      <w:r>
        <w:rPr>
          <w:rFonts w:ascii="Courier New" w:hAnsi="Courier New" w:cs="Courier New"/>
          <w:sz w:val="24"/>
          <w:szCs w:val="24"/>
        </w:rPr>
        <w:t xml:space="preserve">por el Sr. Hugo Eduardo Cena, D.N.I. 21.994.759 donde solicita eximición impositiva;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deuda se origina en el año 2001 y va hasta la fecha existiendo además cinco (5) cuotas del año 1995 no abonadas según informe de Dirección de Ingresos Públicos a Fs. 7 y 8;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titular del inmueble es el Sr. Cena Luis Martín, padre del solicitante ya fallecido;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informa que el solicitante vive con un hermano que está realizando sus estudios secundarios en escuela nocturna, realiza trabajos esporádicos en limpieza por hora, recibe módulo alimentario y la vivienda no cuenta con baño instalado;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Sección Catastro confirma la titularidad del inmueble y manifiesta la necesidad de que se acredite el vínculo entre el solicitante y el titular;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se presentó a dialogar con los miembros de la Comisión de Hacienda, aclarando aspectos relacionados con su pedido y con la información obrante en el Expediente;</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AUTORÍZASE</w:t>
      </w:r>
      <w:r>
        <w:rPr>
          <w:rFonts w:ascii="Courier New" w:hAnsi="Courier New" w:cs="Courier New"/>
          <w:sz w:val="24"/>
          <w:szCs w:val="24"/>
          <w:lang w:val="es-AR"/>
        </w:rPr>
        <w:t xml:space="preserve"> al Departamento Ejecutivo a realizar un Plan de Pagos </w:t>
      </w:r>
      <w:r>
        <w:rPr>
          <w:rFonts w:ascii="Courier New" w:hAnsi="Courier New" w:cs="Courier New"/>
          <w:sz w:val="24"/>
          <w:szCs w:val="24"/>
        </w:rPr>
        <w:t>por la deuda que registra a Valores Históricos la designación catastral 4-01-082-011-000 hasta la promulgación de la presente Ordenanza con cuotas mensuales que no superen los veinte pesos ($20.-) en concepto de Tasa por Servicios a la Propiedad</w:t>
      </w: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Art.2</w:t>
      </w:r>
      <w:r>
        <w:rPr>
          <w:rFonts w:ascii="Courier New" w:hAnsi="Courier New" w:cs="Courier New"/>
          <w:b w:val="1"/>
          <w:bCs w:val="1"/>
          <w:sz w:val="24"/>
          <w:szCs w:val="24"/>
          <w:lang w:val="es-AR"/>
        </w:rPr>
        <w:t xml:space="preserve">: </w:t>
      </w:r>
      <w:r>
        <w:rPr>
          <w:rFonts w:ascii="Courier New" w:hAnsi="Courier New" w:cs="Courier New"/>
          <w:b w:val="1"/>
          <w:bCs w:val="1"/>
          <w:sz w:val="24"/>
          <w:szCs w:val="24"/>
          <w:lang w:val="es-AR"/>
        </w:rPr>
        <w:t xml:space="preserve">CADÚQUESE </w:t>
      </w:r>
      <w:r>
        <w:rPr>
          <w:rFonts w:ascii="Courier New" w:hAnsi="Courier New" w:cs="Courier New"/>
          <w:sz w:val="24"/>
          <w:szCs w:val="24"/>
          <w:lang w:val="es-AR"/>
        </w:rPr>
        <w:t xml:space="preserve">en forma automática el beneficio otorgado </w:t>
      </w:r>
      <w:r>
        <w:rPr>
          <w:rFonts w:ascii="Courier New" w:hAnsi="Courier New" w:cs="Courier New"/>
          <w:sz w:val="24"/>
          <w:szCs w:val="24"/>
        </w:rPr>
        <w:t>en caso de registrarse tres (3) o más cuotas consecutivas sin abonar de la Tasa actual o del Plan de Pagos otorgado. Situación similar para el caso de venta, transferencia o cambio de titularidad del inmueble.</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2026-07-09T18:42:21Z</dcterms:created>
  <cp:lastModifiedBy>Federico Parisi</cp:lastModifiedBy>
  <cp:lastPrinted>2007-11-29T00:21:00Z</cp:lastPrinted>
  <dcterms:modified xsi:type="dcterms:W3CDTF">2026-07-09T18:42:21Z</dcterms:modified>
  <cp:revision>2</cp:revision>
  <dc:title>P R O Y E C T O   D E   O R D E N A N Z A</dc:title>
</cp:coreProperties>
</file>