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7918</w:t>
      </w:r>
    </w:p>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81/I/02</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lang w:val="es-AR"/>
        </w:rPr>
        <w:t xml:space="preserve">Que el mismo es </w:t>
      </w:r>
      <w:r>
        <w:rPr>
          <w:rFonts w:ascii="Courier New" w:hAnsi="Courier New" w:cs="Courier New"/>
          <w:sz w:val="24"/>
          <w:szCs w:val="24"/>
        </w:rPr>
        <w:t xml:space="preserve">iniciado por el Sr. Tránsito Omar Luján solicitando eximición de los impuestos municipales;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según el estudio socioeconómico a Fs. 22, el solicitante vive con su hermana de avanzada edad y con problemas de salud no contando con obra social, percibe una pensión graciable que en la actualidad asciende a doscientos setenta y siete pesos ($277.-), es beneficiario del módulo alimentario, la edad del solicitante es de 78 años;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deuda de Tasa por Servicios a la Propiedad se inicia en el año 1996 y va hasta la fecha, estando gran parte de la misma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la nota que dio origen al presente Expediente, el solicitante pedía eximición por la propiedad y por cementerio (Identificación 2920 y 2882) según información de Dirección de Ingresos Públicos a Fs. 7, 8 y 9;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solicitante se presentó ante la Comisión de Hacienda manifestando que su ingreso ahora es de cuatrocientos cuatro pesos ($404.-) y un vecino, que lo acompaña, es quien ayuda su grupo familiar en lo que puede;</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EXÍMASE </w:t>
      </w:r>
      <w:r>
        <w:rPr>
          <w:rFonts w:ascii="Courier New" w:hAnsi="Courier New" w:cs="Courier New"/>
          <w:sz w:val="24"/>
          <w:szCs w:val="24"/>
        </w:rPr>
        <w:t>por cada cuota que abone por Tasa por Servicios a la Propiedad a partir de la promulgación de la presente Ordenanza, una (1) cuota de la deuda que registra la designación catastral 01-01-210-014-000 en concepto de Tasa por Servicios a la Propiedad</w:t>
      </w: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w:t>
      </w:r>
      <w:r>
        <w:rPr>
          <w:rFonts w:ascii="Courier New" w:hAnsi="Courier New" w:cs="Courier New"/>
          <w:b w:val="1"/>
          <w:bCs w:val="1"/>
          <w:sz w:val="24"/>
          <w:szCs w:val="24"/>
          <w:lang w:val="es-AR"/>
        </w:rPr>
        <w:t xml:space="preserve">CADÚQUESE </w:t>
      </w:r>
      <w:r>
        <w:rPr>
          <w:rFonts w:ascii="Courier New" w:hAnsi="Courier New" w:cs="Courier New"/>
          <w:sz w:val="24"/>
          <w:szCs w:val="24"/>
          <w:lang w:val="es-AR"/>
        </w:rPr>
        <w:t xml:space="preserve">en forma automática el beneficio otorgado </w:t>
      </w:r>
      <w:r>
        <w:rPr>
          <w:rFonts w:ascii="Courier New" w:hAnsi="Courier New" w:cs="Courier New"/>
          <w:sz w:val="24"/>
          <w:szCs w:val="24"/>
        </w:rPr>
        <w:t>en caso de venta, transferencia o cambio de titularidad del inmueble o en caso de registrarse más de 3 cuotas consecutivas o alternadas impagas de la tasa actual.</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de dejar sin efecto juicio y honorarios devengados por la deuda de Tasa por Servicios a la Propiedad que mantiene el Sr. Luján con el municipio.</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Art.4</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2026-07-09T18:41:55Z</dcterms:created>
  <cp:lastModifiedBy>Federico Parisi</cp:lastModifiedBy>
  <cp:lastPrinted>2007-11-29T14:02:00Z</cp:lastPrinted>
  <dcterms:modified xsi:type="dcterms:W3CDTF">2026-07-09T18:41:55Z</dcterms:modified>
  <cp:revision>2</cp:revision>
  <dc:title>P R O Y E C T O   D E   O R D E N A N Z A</dc:title>
</cp:coreProperties>
</file>