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 w:cs="Courier New"/>
          <w:i w:val="1"/>
          <w:iCs w:val="1"/>
          <w:sz w:val="24"/>
          <w:szCs w:val="24"/>
          <w:u w:val="single"/>
        </w:rPr>
      </w:pPr>
      <w:r>
        <w:rPr>
          <w:rFonts w:ascii="Courier New" w:hAnsi="Courier New" w:cs="Courier New"/>
          <w:i w:val="0"/>
          <w:iCs w:val="0"/>
          <w:sz w:val="24"/>
          <w:szCs w:val="24"/>
          <w:u w:val="single"/>
        </w:rPr>
        <w:t>ORDENANZA Nº 7939</w:t>
      </w:r>
    </w:p>
    <w:p>
      <w:pPr>
        <w:widowControl w:val="0"/>
        <w:rPr>
          <w:rFonts w:ascii="Courier New" w:hAnsi="Courier New"/>
        </w:rPr>
      </w:pPr>
    </w:p>
    <w:p>
      <w:pPr>
        <w:widowControl w:val="0"/>
        <w:rPr>
          <w:rFonts w:ascii="Courier New" w:hAnsi="Courier New"/>
        </w:rPr>
      </w:pPr>
    </w:p>
    <w:p>
      <w:pPr>
        <w:pStyle w:val="P5"/>
        <w:ind w:hanging="709" w:left="709"/>
        <w:rPr>
          <w:rFonts w:ascii="Courier New" w:hAnsi="Courier New"/>
        </w:rPr>
      </w:pPr>
      <w:r>
        <w:rPr>
          <w:rFonts w:ascii="Courier New" w:hAnsi="Courier New"/>
        </w:rPr>
        <w:t xml:space="preserve">Visto: la inquietud planteada ante este Cuerpo, en representación de un grupo de vecinos autodenominados “Proteccionistas independientes de Alta Gracia” por uno de sus miembros, en referencia a los animales domésticos sueltos en la vía pública, contenida en el Expediente N° 820/07; y </w:t>
      </w:r>
    </w:p>
    <w:p>
      <w:pPr>
        <w:pStyle w:val="P5"/>
        <w:rPr>
          <w:rFonts w:ascii="Courier New" w:hAnsi="Courier New"/>
        </w:rPr>
      </w:pPr>
    </w:p>
    <w:p>
      <w:pPr>
        <w:widowControl w:val="0"/>
        <w:jc w:val="both"/>
        <w:rPr>
          <w:rFonts w:ascii="Courier New" w:hAnsi="Courier New"/>
        </w:rPr>
      </w:pPr>
    </w:p>
    <w:p>
      <w:pPr>
        <w:pStyle w:val="P1"/>
        <w:rPr>
          <w:lang w:val="pt-BR"/>
        </w:rPr>
      </w:pPr>
      <w:r>
        <w:rPr>
          <w:lang w:val="pt-BR"/>
        </w:rPr>
        <w:t>C O N S I D E R A N D O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</w:tabs>
        <w:ind w:firstLine="360" w:left="720"/>
        <w:jc w:val="both"/>
        <w:rPr>
          <w:rFonts w:ascii="Courier New" w:hAnsi="Courier New"/>
          <w:lang w:val="pt-BR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</w:tabs>
        <w:ind w:firstLine="360" w:left="720"/>
        <w:jc w:val="both"/>
        <w:rPr>
          <w:rFonts w:ascii="Courier New" w:hAnsi="Courier New"/>
          <w:lang w:val="pt-BR"/>
        </w:rPr>
      </w:pPr>
    </w:p>
    <w:p>
      <w:pPr>
        <w:pStyle w:val="P8"/>
      </w:pPr>
      <w:r>
        <w:t>Que, la propuesta que acercan los vecinos para solucionar la situación de animales domésticos sueltos en la vía pública ya se encuentra contemplada en la Ordenanza N° 7370, en su Art. 3;</w:t>
      </w:r>
    </w:p>
    <w:p>
      <w:pPr>
        <w:pStyle w:val="P8"/>
      </w:pPr>
    </w:p>
    <w:p>
      <w:pPr>
        <w:pStyle w:val="P8"/>
      </w:pPr>
      <w:r>
        <w:t>Que es necesario modificar en este sentido el Art. 3 de la Ordenanza N° 7370 para una mayor claridad de interpretación, además de instar al Departamento Ejecutivo a cumplir con lo normado en la misma;</w:t>
      </w:r>
    </w:p>
    <w:p>
      <w:pPr>
        <w:pStyle w:val="P8"/>
        <w:tabs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</w:pPr>
    </w:p>
    <w:p>
      <w:pPr>
        <w:pStyle w:val="P8"/>
        <w:tabs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</w:pPr>
      <w:r>
        <w:t>Que analizado la modificación propuesta por la Comisión de Asuntos Ambientales y Salud, se emite despacho favorable aprobado por unanimidad en Sesión Ordinaria de fecha 29 de noviembre de 2007.</w:t>
      </w:r>
    </w:p>
    <w:p>
      <w:pPr>
        <w:pStyle w:val="P8"/>
        <w:tabs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</w:pPr>
    </w:p>
    <w:p>
      <w:pPr>
        <w:pStyle w:val="P8"/>
        <w:tabs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</w:pPr>
    </w:p>
    <w:p>
      <w:pPr>
        <w:pStyle w:val="P3"/>
        <w:jc w:val="center"/>
        <w:rPr>
          <w:sz w:val="24"/>
          <w:szCs w:val="24"/>
        </w:rPr>
      </w:pPr>
      <w:r>
        <w:rPr>
          <w:sz w:val="24"/>
          <w:szCs w:val="24"/>
        </w:rPr>
        <w:t>EL HONORABLE CONCEJO DELIBERANTE DE LA CIUDAD DE</w:t>
      </w:r>
    </w:p>
    <w:p>
      <w:pPr>
        <w:pStyle w:val="P3"/>
        <w:jc w:val="center"/>
        <w:rPr>
          <w:b w:val="1"/>
          <w:bCs w:val="1"/>
          <w:sz w:val="24"/>
          <w:szCs w:val="24"/>
        </w:rPr>
      </w:pPr>
    </w:p>
    <w:p>
      <w:pPr>
        <w:pStyle w:val="P3"/>
        <w:jc w:val="center"/>
        <w:rPr>
          <w:b w:val="1"/>
          <w:bCs w:val="1"/>
          <w:sz w:val="24"/>
          <w:szCs w:val="24"/>
        </w:rPr>
      </w:pPr>
    </w:p>
    <w:p>
      <w:pPr>
        <w:pStyle w:val="P3"/>
        <w:jc w:val="center"/>
        <w:rPr>
          <w:sz w:val="24"/>
          <w:szCs w:val="24"/>
        </w:rPr>
      </w:pPr>
      <w:r>
        <w:rPr>
          <w:sz w:val="24"/>
          <w:szCs w:val="24"/>
        </w:rPr>
        <w:t>ALTA GRACIA SANCIONA CON FUERZA DE ORDENANZA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jc w:val="center"/>
        <w:rPr>
          <w:rFonts w:ascii="Courier New" w:hAnsi="Courier New"/>
          <w:b w:val="1"/>
          <w:bCs w:val="1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jc w:val="center"/>
        <w:rPr>
          <w:rFonts w:ascii="Courier New" w:hAnsi="Courier New"/>
          <w:b w:val="1"/>
          <w:bCs w:val="1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709" w:left="709"/>
        <w:jc w:val="both"/>
        <w:rPr>
          <w:rFonts w:ascii="Courier New" w:hAnsi="Courier New"/>
          <w:b w:val="1"/>
          <w:bCs w:val="1"/>
          <w:lang w:val="es-ES"/>
        </w:rPr>
      </w:pPr>
      <w:r>
        <w:rPr>
          <w:rFonts w:ascii="Courier New" w:hAnsi="Courier New"/>
          <w:u w:val="single"/>
          <w:lang w:val="es-ES"/>
        </w:rPr>
        <w:t>Art.1</w:t>
      </w:r>
      <w:r>
        <w:rPr>
          <w:rFonts w:ascii="Courier New" w:hAnsi="Courier New"/>
          <w:lang w:val="es-ES"/>
        </w:rPr>
        <w:t>:</w:t>
      </w:r>
      <w:r>
        <w:rPr>
          <w:rFonts w:ascii="Courier New" w:hAnsi="Courier New"/>
          <w:b w:val="0"/>
          <w:bCs w:val="0"/>
          <w:lang w:val="es-ES"/>
        </w:rPr>
        <w:t xml:space="preserve"> </w:t>
      </w:r>
      <w:r>
        <w:rPr>
          <w:rFonts w:ascii="Courier New" w:hAnsi="Courier New"/>
          <w:lang w:val="es-ES"/>
        </w:rPr>
        <w:t>MODIFÍCASE</w:t>
      </w:r>
      <w:r>
        <w:rPr>
          <w:rFonts w:ascii="Courier New" w:hAnsi="Courier New"/>
          <w:b w:val="0"/>
          <w:bCs w:val="0"/>
          <w:lang w:val="es-ES"/>
        </w:rPr>
        <w:t xml:space="preserve"> el Artículo 3 Inciso 1, el cual quedará redactado de la siguiente manera:</w:t>
      </w:r>
    </w:p>
    <w:p>
      <w:pPr>
        <w:widowControl w:val="0"/>
        <w:tabs>
          <w:tab w:val="left" w:pos="8640" w:leader="none"/>
          <w:tab w:val="left" w:pos="9360" w:leader="none"/>
        </w:tabs>
        <w:ind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“</w:t>
      </w:r>
      <w:r>
        <w:rPr>
          <w:rFonts w:ascii="Courier New" w:hAnsi="Courier New"/>
          <w:b w:val="0"/>
          <w:bCs w:val="0"/>
          <w:u w:val="single"/>
        </w:rPr>
        <w:t>Art.3:</w:t>
      </w:r>
      <w:r>
        <w:rPr>
          <w:rFonts w:ascii="Courier New" w:hAnsi="Courier New"/>
          <w:b w:val="0"/>
          <w:bCs w:val="0"/>
        </w:rPr>
        <w:t xml:space="preserve"> .....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firstLine="709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ab/>
        <w:t xml:space="preserve">1.- </w:t>
      </w:r>
      <w:r>
        <w:rPr>
          <w:rFonts w:ascii="Courier New" w:hAnsi="Courier New"/>
          <w:b w:val="0"/>
          <w:bCs w:val="0"/>
          <w:u w:val="single"/>
        </w:rPr>
        <w:t>Subprograma de control poblacional</w:t>
      </w:r>
      <w:r>
        <w:rPr>
          <w:rFonts w:ascii="Courier New" w:hAnsi="Courier New"/>
          <w:b w:val="0"/>
          <w:bCs w:val="0"/>
        </w:rPr>
        <w:t>.</w:t>
      </w:r>
    </w:p>
    <w:p>
      <w:pPr>
        <w:widowControl w:val="0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1.1.- Será aplicado en la población de pequeños animales domésticos vagabundos de ambos sexos (perros y gatos), y pertenecientes a personas carenciadas. Será realizada  en forma gratuita y masiva utilizando como metodología la esterilización farmacológica temporaria y, de preferencia, la esterilización quirúrgica definitiva. </w:t>
      </w:r>
    </w:p>
    <w:p>
      <w:pPr>
        <w:pStyle w:val="P6"/>
        <w:jc w:val="right"/>
      </w:pPr>
      <w:r>
        <w:t>...///</w:t>
      </w:r>
    </w:p>
    <w:p>
      <w:pPr>
        <w:pStyle w:val="P6"/>
      </w:pPr>
    </w:p>
    <w:p>
      <w:pPr>
        <w:pStyle w:val="P6"/>
        <w:tabs>
          <w:tab w:val="clear" w:pos="720" w:leader="none"/>
          <w:tab w:val="left" w:pos="851" w:leader="none"/>
        </w:tabs>
        <w:ind w:left="0"/>
      </w:pPr>
    </w:p>
    <w:p>
      <w:pPr>
        <w:pStyle w:val="P6"/>
        <w:tabs>
          <w:tab w:val="clear" w:pos="720" w:leader="none"/>
          <w:tab w:val="left" w:pos="851" w:leader="none"/>
        </w:tabs>
        <w:ind w:left="0"/>
      </w:pPr>
    </w:p>
    <w:p>
      <w:pPr>
        <w:pStyle w:val="P6"/>
        <w:tabs>
          <w:tab w:val="clear" w:pos="720" w:leader="none"/>
          <w:tab w:val="left" w:pos="851" w:leader="none"/>
        </w:tabs>
        <w:ind w:left="0"/>
      </w:pPr>
    </w:p>
    <w:p>
      <w:pPr>
        <w:pStyle w:val="P6"/>
        <w:tabs>
          <w:tab w:val="clear" w:pos="720" w:leader="none"/>
          <w:tab w:val="left" w:pos="851" w:leader="none"/>
        </w:tabs>
        <w:ind w:left="0"/>
      </w:pPr>
      <w:r>
        <w:t>...///2.-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74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Se realizarán operativos en los barrios de la ciudad, con especial énfasis en lugares de alta prevalencia de animales callejeros.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74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Se pondrá en marcha simultáneamente una campaña que tendrá como objetivo informar sobre los beneficios, a corto y largo plazo, del control reproductivo de la población animal.”</w:t>
      </w:r>
    </w:p>
    <w:p>
      <w:pPr>
        <w:jc w:val="both"/>
        <w:rPr>
          <w:rFonts w:ascii="Courier New" w:hAnsi="Courier New"/>
          <w:lang w:val="es-ES"/>
        </w:rPr>
      </w:pPr>
    </w:p>
    <w:p>
      <w:pPr>
        <w:pStyle w:val="P3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Art.2</w:t>
      </w:r>
      <w:r>
        <w:rPr>
          <w:b w:val="0"/>
          <w:bCs w:val="0"/>
          <w:sz w:val="24"/>
          <w:szCs w:val="24"/>
        </w:rPr>
        <w:t>:</w:t>
      </w:r>
      <w:r>
        <w:rPr>
          <w:b w:val="0"/>
          <w:bCs w:val="0"/>
        </w:rPr>
        <w:t xml:space="preserve"> </w:t>
      </w:r>
      <w:r>
        <w:rPr>
          <w:sz w:val="24"/>
          <w:szCs w:val="24"/>
        </w:rPr>
        <w:t>PROTOCOLÍCESE</w:t>
      </w:r>
      <w:r>
        <w:rPr>
          <w:b w:val="0"/>
          <w:bCs w:val="0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pStyle w:val="P3"/>
        <w:jc w:val="both"/>
        <w:rPr>
          <w:sz w:val="24"/>
          <w:szCs w:val="24"/>
        </w:rPr>
      </w:pPr>
    </w:p>
    <w:p>
      <w:pPr>
        <w:pStyle w:val="P3"/>
        <w:jc w:val="both"/>
        <w:rPr>
          <w:sz w:val="24"/>
          <w:szCs w:val="24"/>
        </w:rPr>
      </w:pPr>
    </w:p>
    <w:p>
      <w:pPr>
        <w:pStyle w:val="P7"/>
        <w:widowControl w:val="1"/>
      </w:pPr>
      <w:r>
        <w:t>DADA EN LA SALA DE SESIONES DEL HONORABLE CONCEJO DELIBERANTE A LOS VEINTINUEVE DÍAS DEL MES DE NOVIEMBRE DEL AÑO DOS MIL SIETE.</w:t>
      </w:r>
    </w:p>
    <w:p>
      <w:pPr>
        <w:pStyle w:val="P4"/>
        <w:jc w:val="left"/>
      </w:pP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 w:cs="Courier New"/>
      <w:lang/>
    </w:rPr>
  </w:style>
  <w:style w:type="paragraph" w:styleId="P2">
    <w:name w:val="Heading 2"/>
    <w:basedOn w:val="P0"/>
    <w:next w:val="P0"/>
    <w:pPr>
      <w:keepNext w:val="1"/>
      <w:spacing w:before="240" w:after="60"/>
      <w:outlineLvl w:val="1"/>
    </w:pPr>
    <w:rPr>
      <w:rFonts w:ascii="Arial" w:hAnsi="Arial" w:cs="Arial"/>
      <w:i w:val="1"/>
      <w:iCs w:val="1"/>
      <w:sz w:val="28"/>
      <w:szCs w:val="28"/>
    </w:rPr>
  </w:style>
  <w:style w:type="paragraph" w:styleId="P3">
    <w:name w:val="Plain Text"/>
    <w:basedOn w:val="P0"/>
    <w:next w:val="P3"/>
    <w:pPr/>
    <w:rPr>
      <w:rFonts w:ascii="Courier New" w:hAnsi="Courier New"/>
      <w:sz w:val="20"/>
      <w:szCs w:val="20"/>
      <w:lang/>
    </w:rPr>
  </w:style>
  <w:style w:type="paragraph" w:styleId="P4">
    <w:name w:val="Title"/>
    <w:basedOn w:val="P0"/>
    <w:next w:val="P4"/>
    <w:pPr>
      <w:jc w:val="center"/>
    </w:pPr>
    <w:rPr>
      <w:rFonts w:ascii="Courier New" w:hAnsi="Courier New"/>
      <w:u w:val="single"/>
      <w:lang/>
    </w:rPr>
  </w:style>
  <w:style w:type="paragraph" w:styleId="P5">
    <w:name w:val="Body Text"/>
    <w:basedOn w:val="P0"/>
    <w:next w:val="P5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Times" w:hAnsi="Times" w:cs="Courier New"/>
      <w:b w:val="0"/>
      <w:bCs w:val="0"/>
      <w:color w:val="auto"/>
      <w:lang w:val="es-ES"/>
    </w:rPr>
  </w:style>
  <w:style w:type="paragraph" w:styleId="P6">
    <w:name w:val="Body Text Indent"/>
    <w:basedOn w:val="P0"/>
    <w:next w:val="P6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ind w:left="741"/>
      <w:jc w:val="both"/>
    </w:pPr>
    <w:rPr>
      <w:rFonts w:ascii="Courier New" w:hAnsi="Courier New"/>
      <w:b w:val="0"/>
      <w:bCs w:val="0"/>
      <w:color w:val="auto"/>
      <w:lang w:val="es-ES"/>
    </w:rPr>
  </w:style>
  <w:style w:type="paragraph" w:styleId="P7">
    <w:name w:val="Body Text 2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rFonts w:ascii="Courier New" w:hAnsi="Courier New"/>
      <w:color w:val="auto"/>
      <w:lang w:val="es-ES"/>
    </w:rPr>
  </w:style>
  <w:style w:type="paragraph" w:styleId="P8">
    <w:name w:val="Body Text Indent 2"/>
    <w:basedOn w:val="P0"/>
    <w:next w:val="P8"/>
    <w:pPr>
      <w:widowControl w:val="0"/>
      <w:tabs>
        <w:tab w:val="left" w:pos="720" w:leader="none"/>
      </w:tabs>
      <w:ind w:left="798"/>
      <w:jc w:val="both"/>
    </w:pPr>
    <w:rPr>
      <w:rFonts w:ascii="Courier New" w:hAnsi="Courier New"/>
      <w:b w:val="0"/>
      <w:bCs w:val="0"/>
      <w:color w:val="auto"/>
      <w:lang w:val="es-E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2026-07-09T18:41:35Z</dcterms:created>
  <cp:lastModifiedBy>Federico Parisi</cp:lastModifiedBy>
  <cp:lastPrinted>2007-12-09T21:01:00Z</cp:lastPrinted>
  <dcterms:modified xsi:type="dcterms:W3CDTF">2026-07-09T18:41:35Z</dcterms:modified>
  <cp:revision>2</cp:revision>
  <dc:title>Visto: El Expediente N§ 253/I/2000 iniciado por el Departa-</dc:title>
</cp:coreProperties>
</file>