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7940</w:t>
      </w:r>
    </w:p>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 xml:space="preserve">Vistos: </w:t>
      </w:r>
      <w:r>
        <w:rPr>
          <w:rFonts w:ascii="Courier New" w:hAnsi="Courier New" w:cs="Courier New"/>
          <w:sz w:val="24"/>
          <w:szCs w:val="24"/>
        </w:rPr>
        <w:t>Los Expedientes Nº 518/05, Nº 650/05 y Nº 1091/5 iniciados por el Sr. Roberto Brunengo solicitando excepción a la Ordenanza Nº 1294</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pStyle w:val="P6"/>
        <w:ind w:left="680"/>
        <w:jc w:val="both"/>
        <w:rPr>
          <w:rFonts w:cs="Times New Roman"/>
          <w:sz w:val="24"/>
          <w:szCs w:val="24"/>
        </w:rPr>
      </w:pPr>
      <w:r>
        <w:rPr>
          <w:rFonts w:cs="Times New Roman"/>
          <w:sz w:val="24"/>
          <w:szCs w:val="24"/>
        </w:rPr>
        <w:t>Que el solicitante plantea la posibilidad de autorizar por vía de la excepción al Artículo Nº 243 de la Ordenanza Nº 1294, subdivisión de inmueble ubicado en calle Los Cerrillos 722 entre calle Armenia y Hnos. D’ambra;</w:t>
      </w:r>
    </w:p>
    <w:p>
      <w:pPr>
        <w:pStyle w:val="P6"/>
        <w:ind w:left="680"/>
        <w:jc w:val="both"/>
        <w:rPr>
          <w:rFonts w:cs="Times New Roman"/>
          <w:sz w:val="24"/>
          <w:szCs w:val="24"/>
        </w:rPr>
      </w:pPr>
    </w:p>
    <w:p>
      <w:pPr>
        <w:pStyle w:val="P6"/>
        <w:ind w:left="680"/>
        <w:jc w:val="both"/>
        <w:rPr>
          <w:rFonts w:cs="Times New Roman"/>
          <w:sz w:val="24"/>
          <w:szCs w:val="24"/>
        </w:rPr>
      </w:pPr>
      <w:r>
        <w:rPr>
          <w:rFonts w:cs="Times New Roman"/>
          <w:sz w:val="24"/>
          <w:szCs w:val="24"/>
        </w:rPr>
        <w:t xml:space="preserve">Que los Expedientes de marras ya fueron tratados por este Cuerpo; </w:t>
      </w:r>
    </w:p>
    <w:p>
      <w:pPr>
        <w:pStyle w:val="P6"/>
        <w:ind w:left="680"/>
        <w:jc w:val="both"/>
        <w:rPr>
          <w:rFonts w:cs="Times New Roman"/>
          <w:sz w:val="24"/>
          <w:szCs w:val="24"/>
        </w:rPr>
      </w:pPr>
    </w:p>
    <w:p>
      <w:pPr>
        <w:pStyle w:val="P6"/>
        <w:ind w:left="680"/>
        <w:jc w:val="both"/>
        <w:rPr>
          <w:rFonts w:cs="Times New Roman"/>
          <w:sz w:val="24"/>
          <w:szCs w:val="24"/>
        </w:rPr>
      </w:pPr>
      <w:r>
        <w:rPr>
          <w:rFonts w:cs="Times New Roman"/>
          <w:sz w:val="24"/>
          <w:szCs w:val="24"/>
        </w:rPr>
        <w:t>Que a Fs. 5, con fecha 16 de junio de 2005 existe despacho de la Comisión Obras y Servicios públicos donde se resuelve solicitar se de cumplimiento a información faltante, la cual según las Áreas del Departamento Ejecutivo han sido cumplimentadas a la fecha;</w:t>
      </w:r>
    </w:p>
    <w:p>
      <w:pPr>
        <w:pStyle w:val="P6"/>
        <w:ind w:left="680"/>
        <w:jc w:val="both"/>
        <w:rPr>
          <w:rFonts w:cs="Times New Roman"/>
          <w:sz w:val="24"/>
          <w:szCs w:val="24"/>
        </w:rPr>
      </w:pPr>
    </w:p>
    <w:p>
      <w:pPr>
        <w:ind w:left="680"/>
        <w:jc w:val="both"/>
        <w:rPr>
          <w:rFonts w:ascii="Courier New" w:hAnsi="Courier New" w:cs="Courier New"/>
          <w:sz w:val="24"/>
          <w:szCs w:val="24"/>
        </w:rPr>
      </w:pPr>
      <w:r>
        <w:rPr>
          <w:rFonts w:ascii="Courier New" w:hAnsi="Courier New" w:cs="Courier New"/>
          <w:sz w:val="24"/>
          <w:szCs w:val="24"/>
        </w:rPr>
        <w:t>Que a Fs. 43 Área Planeamiento y Patrimonio, sugiere factible la subdivisión solicitada dado que no incide en el paisaje urbano del entorno;</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Obras y Servicios Públicos, la misma emite despacho en el marco de las Ordenanzas vigentes, despacho aprobado por unanimidad en Sesión Ordinaria de fecha 29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por vía de la excepción al Artículo Nº 243 de la Ordenanza Nº 1294, la subdivisión de la designación catastral C1-S1-Mz93-Parc.9, Lote 10-Mz.Of.E conforme plano de mensura y subdivisión a Fs. 42 de los Expedientes Nº 518/05, Nº 650/05 y Nº 1090/05.</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VEINTINUEVE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2026-07-09T18:41:27Z</dcterms:created>
  <cp:lastModifiedBy>Federico Parisi</cp:lastModifiedBy>
  <cp:lastPrinted>2007-12-04T21:35:00Z</cp:lastPrinted>
  <dcterms:modified xsi:type="dcterms:W3CDTF">2026-07-09T18:41:27Z</dcterms:modified>
  <cp:revision>2</cp:revision>
  <dc:title>P R O Y E C T O   D E   O R D E N A N Z A</dc:title>
</cp:coreProperties>
</file>