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rPr>
          <w:rFonts w:ascii="Courier New" w:hAnsi="Courier New"/>
          <w:b w:val="1"/>
          <w:bCs w:val="1"/>
          <w:u w:val="single"/>
        </w:rPr>
      </w:pPr>
    </w:p>
    <w:p>
      <w:pPr>
        <w:jc w:val="center"/>
        <w:rPr>
          <w:rFonts w:ascii="Courier New" w:hAnsi="Courier New"/>
          <w:b w:val="1"/>
          <w:bCs w:val="1"/>
          <w:u w:val="single"/>
        </w:rPr>
      </w:pPr>
    </w:p>
    <w:p>
      <w:pPr>
        <w:jc w:val="center"/>
        <w:rPr>
          <w:rFonts w:ascii="Courier New" w:hAnsi="Courier New"/>
          <w:b w:val="1"/>
          <w:bCs w:val="1"/>
          <w:u w:val="single"/>
        </w:rPr>
      </w:pPr>
    </w:p>
    <w:p>
      <w:pPr>
        <w:jc w:val="center"/>
        <w:rPr>
          <w:rFonts w:ascii="Courier New" w:hAnsi="Courier New"/>
          <w:b w:val="1"/>
          <w:bCs w:val="1"/>
          <w:u w:val="single"/>
        </w:rPr>
      </w:pPr>
    </w:p>
    <w:p>
      <w:pPr>
        <w:jc w:val="center"/>
        <w:rPr>
          <w:rFonts w:ascii="Courier New" w:hAnsi="Courier New"/>
          <w:b w:val="1"/>
          <w:bCs w:val="1"/>
          <w:u w:val="single"/>
        </w:rPr>
      </w:pPr>
    </w:p>
    <w:p>
      <w:pPr>
        <w:jc w:val="center"/>
        <w:rPr>
          <w:rFonts w:ascii="Courier New" w:hAnsi="Courier New"/>
          <w:b w:val="1"/>
          <w:bCs w:val="1"/>
          <w:u w:val="single"/>
        </w:rPr>
      </w:pPr>
      <w:r>
        <w:rPr>
          <w:rFonts w:ascii="Courier New" w:hAnsi="Courier New"/>
          <w:b w:val="1"/>
          <w:bCs w:val="1"/>
          <w:u w:val="single"/>
        </w:rPr>
        <w:t>ORDENANZA N°7950</w:t>
      </w:r>
    </w:p>
    <w:p>
      <w:pPr>
        <w:jc w:val="center"/>
        <w:rPr>
          <w:rFonts w:ascii="Courier New" w:hAnsi="Courier New"/>
          <w:b w:val="1"/>
          <w:bCs w:val="1"/>
          <w:u w:val="single"/>
        </w:rPr>
      </w:pPr>
    </w:p>
    <w:p>
      <w:pPr>
        <w:pStyle w:val="P4"/>
        <w:ind w:hanging="709" w:left="709"/>
        <w:jc w:val="both"/>
        <w:rPr>
          <w:rFonts w:ascii="Courier New" w:hAnsi="Courier New"/>
          <w:sz w:val="24"/>
          <w:szCs w:val="24"/>
        </w:rPr>
      </w:pPr>
      <w:r>
        <w:rPr>
          <w:rFonts w:ascii="Courier New" w:hAnsi="Courier New"/>
          <w:sz w:val="24"/>
          <w:szCs w:val="24"/>
        </w:rPr>
        <w:t>Visto: La Ordenanza Nº 7512</w:t>
      </w:r>
    </w:p>
    <w:p>
      <w:pPr>
        <w:jc w:val="both"/>
        <w:rPr>
          <w:rFonts w:ascii="Courier New" w:hAnsi="Courier New"/>
        </w:rPr>
      </w:pPr>
    </w:p>
    <w:p>
      <w:pPr>
        <w:pStyle w:val="P1"/>
        <w:rPr>
          <w:rFonts w:ascii="Courier New" w:hAnsi="Courier New"/>
          <w:b w:val="1"/>
          <w:bCs w:val="1"/>
          <w:sz w:val="24"/>
          <w:szCs w:val="24"/>
        </w:rPr>
      </w:pPr>
    </w:p>
    <w:p>
      <w:pPr>
        <w:pStyle w:val="P1"/>
        <w:rPr>
          <w:rFonts w:ascii="Courier New" w:hAnsi="Courier New"/>
          <w:b w:val="1"/>
          <w:bCs w:val="1"/>
          <w:sz w:val="24"/>
          <w:szCs w:val="24"/>
        </w:rPr>
      </w:pPr>
      <w:r>
        <w:rPr>
          <w:rFonts w:ascii="Courier New" w:hAnsi="Courier New"/>
          <w:b w:val="1"/>
          <w:bCs w:val="1"/>
          <w:sz w:val="24"/>
          <w:szCs w:val="24"/>
        </w:rPr>
        <w:t>C O N S I D E R A N D O</w:t>
      </w:r>
    </w:p>
    <w:p/>
    <w:p>
      <w:pPr>
        <w:jc w:val="both"/>
        <w:rPr>
          <w:rFonts w:ascii="Courier New" w:hAnsi="Courier New"/>
        </w:rPr>
      </w:pPr>
    </w:p>
    <w:p>
      <w:pPr>
        <w:pStyle w:val="P4"/>
        <w:ind w:left="720"/>
        <w:jc w:val="both"/>
        <w:rPr>
          <w:rFonts w:ascii="Courier New" w:hAnsi="Courier New"/>
          <w:sz w:val="24"/>
          <w:szCs w:val="24"/>
        </w:rPr>
      </w:pPr>
      <w:r>
        <w:rPr>
          <w:rFonts w:ascii="Courier New" w:hAnsi="Courier New"/>
          <w:sz w:val="24"/>
          <w:szCs w:val="24"/>
        </w:rPr>
        <w:t>Que al inicio de esta administración – diciembre de 2003 - se observa la existencia de personal contratado, y lejos de querer perjudicar al trabajador municipal con una rescisión contractual anticipada se optó por su continuidad;</w:t>
      </w:r>
    </w:p>
    <w:p>
      <w:pPr>
        <w:pStyle w:val="P4"/>
        <w:ind w:left="720"/>
        <w:jc w:val="both"/>
        <w:rPr>
          <w:rFonts w:ascii="Courier New" w:hAnsi="Courier New"/>
          <w:sz w:val="24"/>
          <w:szCs w:val="24"/>
        </w:rPr>
      </w:pPr>
    </w:p>
    <w:p>
      <w:pPr>
        <w:pStyle w:val="P4"/>
        <w:ind w:left="720"/>
        <w:jc w:val="both"/>
        <w:rPr>
          <w:rFonts w:ascii="Courier New" w:hAnsi="Courier New"/>
          <w:sz w:val="24"/>
          <w:szCs w:val="24"/>
        </w:rPr>
      </w:pPr>
      <w:r>
        <w:rPr>
          <w:rFonts w:ascii="Courier New" w:hAnsi="Courier New"/>
          <w:sz w:val="24"/>
          <w:szCs w:val="24"/>
        </w:rPr>
        <w:t>Que esta situación manifestada en la planta de personal del Estado Municipal, se fue generando a través de las distintas gestiones de gobierno, por lo que no están dadas las condiciones para absorber un cambio abrupto;</w:t>
      </w:r>
    </w:p>
    <w:p>
      <w:pPr>
        <w:pStyle w:val="P4"/>
        <w:ind w:left="720"/>
        <w:jc w:val="both"/>
        <w:rPr>
          <w:rFonts w:ascii="Courier New" w:hAnsi="Courier New"/>
          <w:sz w:val="24"/>
          <w:szCs w:val="24"/>
        </w:rPr>
      </w:pPr>
    </w:p>
    <w:p>
      <w:pPr>
        <w:pStyle w:val="P4"/>
        <w:ind w:left="720"/>
        <w:jc w:val="both"/>
        <w:rPr>
          <w:rFonts w:ascii="Courier New" w:hAnsi="Courier New"/>
          <w:sz w:val="24"/>
          <w:szCs w:val="24"/>
        </w:rPr>
      </w:pPr>
      <w:r>
        <w:rPr>
          <w:rFonts w:ascii="Courier New" w:hAnsi="Courier New"/>
          <w:sz w:val="24"/>
          <w:szCs w:val="24"/>
        </w:rPr>
        <w:t>Que la modificación pretendida se sustenta en la imposibilidad financiera de afrontar las mayores erogaciones provenientes de un ingreso masivo de personal a planta permanente;</w:t>
      </w:r>
    </w:p>
    <w:p>
      <w:pPr>
        <w:pStyle w:val="P4"/>
        <w:ind w:left="720"/>
        <w:jc w:val="both"/>
        <w:rPr>
          <w:rFonts w:ascii="Courier New" w:hAnsi="Courier New"/>
          <w:sz w:val="24"/>
          <w:szCs w:val="24"/>
        </w:rPr>
      </w:pPr>
    </w:p>
    <w:p>
      <w:pPr>
        <w:pStyle w:val="P4"/>
        <w:ind w:left="720"/>
        <w:jc w:val="both"/>
        <w:rPr>
          <w:rFonts w:ascii="Courier New" w:hAnsi="Courier New"/>
          <w:sz w:val="24"/>
          <w:szCs w:val="24"/>
        </w:rPr>
      </w:pPr>
      <w:r>
        <w:rPr>
          <w:rFonts w:ascii="Courier New" w:hAnsi="Courier New"/>
          <w:sz w:val="24"/>
          <w:szCs w:val="24"/>
        </w:rPr>
        <w:t>Que en esta Administración subyace la voluntad política asumida en el año 2003 con la familia municipal, en el sentido de priorizar la continuidad de las relaciones contractuales en lugar de optar por su resolución en virtud de lo expresado anteriormente;</w:t>
      </w:r>
    </w:p>
    <w:p>
      <w:pPr>
        <w:pStyle w:val="P4"/>
        <w:ind w:left="720"/>
        <w:jc w:val="both"/>
        <w:rPr>
          <w:rFonts w:ascii="Courier New" w:hAnsi="Courier New"/>
          <w:sz w:val="24"/>
          <w:szCs w:val="24"/>
        </w:rPr>
      </w:pPr>
    </w:p>
    <w:p>
      <w:pPr>
        <w:pStyle w:val="P4"/>
        <w:ind w:left="720"/>
        <w:jc w:val="both"/>
        <w:rPr>
          <w:rFonts w:ascii="Courier New" w:hAnsi="Courier New"/>
          <w:sz w:val="24"/>
          <w:szCs w:val="24"/>
        </w:rPr>
      </w:pPr>
      <w:r>
        <w:rPr>
          <w:rFonts w:ascii="Courier New" w:hAnsi="Courier New"/>
          <w:sz w:val="24"/>
          <w:szCs w:val="24"/>
        </w:rPr>
        <w:t>Que la actual Administración – en acuerdo con la representación Gremial – ha ido avanzando en la solución paulatina de este problema mediante el pase a planta permanente, en función de la antigüedad y el legajo de los agentes en cuestión;</w:t>
      </w:r>
    </w:p>
    <w:p>
      <w:pPr>
        <w:pStyle w:val="P4"/>
        <w:ind w:left="720"/>
        <w:jc w:val="both"/>
        <w:rPr>
          <w:rFonts w:ascii="Courier New" w:hAnsi="Courier New"/>
          <w:sz w:val="24"/>
          <w:szCs w:val="24"/>
        </w:rPr>
      </w:pPr>
    </w:p>
    <w:p>
      <w:pPr>
        <w:pStyle w:val="P4"/>
        <w:ind w:left="720"/>
        <w:jc w:val="both"/>
        <w:rPr>
          <w:rFonts w:ascii="Courier New" w:hAnsi="Courier New"/>
          <w:sz w:val="24"/>
          <w:szCs w:val="24"/>
        </w:rPr>
      </w:pPr>
      <w:r>
        <w:rPr>
          <w:rFonts w:ascii="Courier New" w:hAnsi="Courier New"/>
          <w:sz w:val="24"/>
          <w:szCs w:val="24"/>
        </w:rPr>
        <w:t>Que el ingreso masivo del personal contratado a planta permanente tampoco constituye un estado de equidad para con el resto del personal;</w:t>
      </w:r>
    </w:p>
    <w:p>
      <w:pPr>
        <w:pStyle w:val="P4"/>
        <w:ind w:left="720"/>
        <w:jc w:val="both"/>
        <w:rPr>
          <w:rFonts w:ascii="Courier New" w:hAnsi="Courier New"/>
          <w:sz w:val="24"/>
          <w:szCs w:val="24"/>
        </w:rPr>
      </w:pPr>
    </w:p>
    <w:p>
      <w:pPr>
        <w:pStyle w:val="P4"/>
        <w:ind w:left="720"/>
        <w:jc w:val="right"/>
        <w:rPr>
          <w:rFonts w:ascii="Courier New" w:hAnsi="Courier New"/>
          <w:sz w:val="24"/>
          <w:szCs w:val="24"/>
        </w:rPr>
      </w:pPr>
      <w:r>
        <w:rPr>
          <w:rFonts w:ascii="Courier New" w:hAnsi="Courier New"/>
          <w:sz w:val="24"/>
          <w:szCs w:val="24"/>
        </w:rPr>
        <w:t>...///</w:t>
      </w:r>
    </w:p>
    <w:p>
      <w:pPr>
        <w:pStyle w:val="P4"/>
        <w:ind w:left="720"/>
        <w:jc w:val="both"/>
        <w:rPr>
          <w:rFonts w:ascii="Courier New" w:hAnsi="Courier New"/>
          <w:sz w:val="24"/>
          <w:szCs w:val="24"/>
        </w:rPr>
      </w:pPr>
    </w:p>
    <w:p>
      <w:pPr>
        <w:pStyle w:val="P4"/>
        <w:ind w:left="720"/>
        <w:jc w:val="both"/>
        <w:rPr>
          <w:rFonts w:ascii="Courier New" w:hAnsi="Courier New"/>
          <w:sz w:val="24"/>
          <w:szCs w:val="24"/>
        </w:rPr>
      </w:pPr>
    </w:p>
    <w:p>
      <w:pPr>
        <w:pStyle w:val="P4"/>
        <w:ind w:left="720"/>
        <w:jc w:val="both"/>
        <w:rPr>
          <w:rFonts w:ascii="Courier New" w:hAnsi="Courier New"/>
          <w:sz w:val="24"/>
          <w:szCs w:val="24"/>
        </w:rPr>
      </w:pPr>
    </w:p>
    <w:p>
      <w:pPr>
        <w:pStyle w:val="P4"/>
        <w:ind w:left="720"/>
        <w:jc w:val="both"/>
        <w:rPr>
          <w:rFonts w:ascii="Courier New" w:hAnsi="Courier New"/>
          <w:sz w:val="24"/>
          <w:szCs w:val="24"/>
        </w:rPr>
      </w:pPr>
    </w:p>
    <w:p>
      <w:pPr>
        <w:pStyle w:val="P4"/>
        <w:ind w:left="720"/>
        <w:jc w:val="both"/>
        <w:rPr>
          <w:rFonts w:ascii="Courier New" w:hAnsi="Courier New"/>
          <w:sz w:val="24"/>
          <w:szCs w:val="24"/>
        </w:rPr>
      </w:pPr>
    </w:p>
    <w:p>
      <w:pPr>
        <w:pStyle w:val="P4"/>
        <w:ind w:left="720"/>
        <w:jc w:val="both"/>
        <w:rPr>
          <w:rFonts w:ascii="Courier New" w:hAnsi="Courier New"/>
          <w:sz w:val="24"/>
          <w:szCs w:val="24"/>
        </w:rPr>
      </w:pPr>
    </w:p>
    <w:p>
      <w:pPr>
        <w:pStyle w:val="P4"/>
        <w:ind w:left="720"/>
        <w:jc w:val="both"/>
        <w:rPr>
          <w:rFonts w:ascii="Courier New" w:hAnsi="Courier New"/>
          <w:sz w:val="24"/>
          <w:szCs w:val="24"/>
        </w:rPr>
      </w:pPr>
    </w:p>
    <w:p>
      <w:pPr>
        <w:pStyle w:val="P4"/>
        <w:ind w:left="720"/>
        <w:jc w:val="both"/>
        <w:rPr>
          <w:rFonts w:ascii="Courier New" w:hAnsi="Courier New"/>
          <w:sz w:val="24"/>
          <w:szCs w:val="24"/>
        </w:rPr>
      </w:pPr>
    </w:p>
    <w:p>
      <w:pPr>
        <w:pStyle w:val="P4"/>
        <w:jc w:val="both"/>
        <w:rPr>
          <w:rFonts w:ascii="Courier New" w:hAnsi="Courier New"/>
          <w:sz w:val="24"/>
          <w:szCs w:val="24"/>
        </w:rPr>
      </w:pPr>
      <w:r>
        <w:rPr>
          <w:rFonts w:ascii="Courier New" w:hAnsi="Courier New"/>
          <w:sz w:val="24"/>
          <w:szCs w:val="24"/>
        </w:rPr>
        <w:t>...///2.-</w:t>
      </w:r>
    </w:p>
    <w:p>
      <w:pPr>
        <w:pStyle w:val="P4"/>
        <w:ind w:left="720"/>
        <w:jc w:val="both"/>
        <w:rPr>
          <w:rFonts w:ascii="Courier New" w:hAnsi="Courier New"/>
          <w:sz w:val="24"/>
          <w:szCs w:val="24"/>
        </w:rPr>
      </w:pPr>
    </w:p>
    <w:p>
      <w:pPr>
        <w:pStyle w:val="P4"/>
        <w:ind w:left="720"/>
        <w:jc w:val="both"/>
        <w:rPr>
          <w:rFonts w:ascii="Courier New" w:hAnsi="Courier New"/>
          <w:sz w:val="24"/>
          <w:szCs w:val="24"/>
        </w:rPr>
      </w:pPr>
      <w:r>
        <w:rPr>
          <w:rFonts w:ascii="Courier New" w:hAnsi="Courier New"/>
          <w:sz w:val="24"/>
          <w:szCs w:val="24"/>
        </w:rPr>
        <w:t>Que consecuente con la responsabilidad en el manejo de las finazas municipales por las que este Gobierno Municipal ha bregado, continuará en esta tesitura sin que se vean afectadas la prestación de servicios y la consecución de las obras iniciadas y proyectadas;</w:t>
      </w:r>
    </w:p>
    <w:p>
      <w:pPr>
        <w:pStyle w:val="P4"/>
        <w:ind w:left="720"/>
        <w:jc w:val="both"/>
        <w:rPr>
          <w:rFonts w:ascii="Courier New" w:hAnsi="Courier New"/>
          <w:sz w:val="24"/>
          <w:szCs w:val="24"/>
        </w:rPr>
      </w:pPr>
    </w:p>
    <w:p>
      <w:pPr>
        <w:pStyle w:val="P4"/>
        <w:ind w:left="720"/>
        <w:jc w:val="both"/>
        <w:rPr>
          <w:rFonts w:ascii="Courier New" w:hAnsi="Courier New"/>
          <w:sz w:val="24"/>
          <w:szCs w:val="24"/>
        </w:rPr>
      </w:pPr>
      <w:r>
        <w:rPr>
          <w:rFonts w:ascii="Courier New" w:hAnsi="Courier New"/>
          <w:sz w:val="24"/>
          <w:szCs w:val="24"/>
        </w:rPr>
        <w:t xml:space="preserve">Que evaluado el Proyecto de Ordenanza por el Concejo  en Comisión, se emite despacho favorable, aprobado por mayoría en Sesión Extraordinaria del día 05 de Enero de 2008.</w:t>
      </w:r>
    </w:p>
    <w:p>
      <w:pPr>
        <w:pStyle w:val="P4"/>
        <w:ind w:left="720"/>
        <w:jc w:val="both"/>
        <w:rPr>
          <w:rFonts w:ascii="Courier New" w:hAnsi="Courier New"/>
          <w:sz w:val="24"/>
          <w:szCs w:val="24"/>
        </w:rPr>
      </w:pPr>
    </w:p>
    <w:p>
      <w:pPr>
        <w:pStyle w:val="P4"/>
        <w:jc w:val="both"/>
        <w:rPr>
          <w:rFonts w:ascii="Courier New" w:hAnsi="Courier New"/>
          <w:sz w:val="24"/>
          <w:szCs w:val="24"/>
        </w:rPr>
      </w:pPr>
    </w:p>
    <w:p>
      <w:pPr>
        <w:pStyle w:val="P4"/>
        <w:ind w:left="708"/>
        <w:jc w:val="center"/>
        <w:rPr>
          <w:rFonts w:ascii="Courier New" w:hAnsi="Courier New"/>
          <w:b w:val="1"/>
          <w:bCs w:val="1"/>
          <w:sz w:val="24"/>
          <w:szCs w:val="24"/>
        </w:rPr>
      </w:pPr>
      <w:r>
        <w:rPr>
          <w:rFonts w:ascii="Courier New" w:hAnsi="Courier New"/>
          <w:b w:val="1"/>
          <w:bCs w:val="1"/>
          <w:sz w:val="24"/>
          <w:szCs w:val="24"/>
        </w:rPr>
        <w:t xml:space="preserve">EL HONORABLE CONCEJO DELIBERANTE DE LA CIUDAD DE </w:t>
      </w:r>
    </w:p>
    <w:p>
      <w:pPr>
        <w:pStyle w:val="P4"/>
        <w:ind w:left="708"/>
        <w:jc w:val="center"/>
        <w:rPr>
          <w:rFonts w:ascii="Courier New" w:hAnsi="Courier New"/>
          <w:b w:val="1"/>
          <w:bCs w:val="1"/>
          <w:sz w:val="24"/>
          <w:szCs w:val="24"/>
        </w:rPr>
      </w:pPr>
    </w:p>
    <w:p>
      <w:pPr>
        <w:pStyle w:val="P4"/>
        <w:ind w:left="708"/>
        <w:jc w:val="center"/>
        <w:rPr>
          <w:rFonts w:ascii="Courier New" w:hAnsi="Courier New"/>
          <w:sz w:val="24"/>
          <w:szCs w:val="24"/>
        </w:rPr>
      </w:pPr>
      <w:r>
        <w:rPr>
          <w:rFonts w:ascii="Courier New" w:hAnsi="Courier New"/>
          <w:b w:val="1"/>
          <w:bCs w:val="1"/>
          <w:sz w:val="24"/>
          <w:szCs w:val="24"/>
        </w:rPr>
        <w:t>ALTA GRACIA SANCIONA CON FUERZA DE ORDENANZA</w:t>
      </w:r>
    </w:p>
    <w:p>
      <w:pPr>
        <w:pStyle w:val="P4"/>
        <w:jc w:val="both"/>
        <w:rPr>
          <w:rFonts w:ascii="Courier New" w:hAnsi="Courier New"/>
          <w:sz w:val="24"/>
          <w:szCs w:val="24"/>
        </w:rPr>
      </w:pPr>
    </w:p>
    <w:p>
      <w:pPr>
        <w:pStyle w:val="P4"/>
        <w:ind w:hanging="851" w:left="851"/>
        <w:jc w:val="both"/>
        <w:rPr>
          <w:rFonts w:ascii="Courier New" w:hAnsi="Courier New"/>
          <w:sz w:val="24"/>
          <w:szCs w:val="24"/>
        </w:rPr>
      </w:pPr>
    </w:p>
    <w:p>
      <w:pPr>
        <w:pStyle w:val="P4"/>
        <w:ind w:hanging="720" w:left="720"/>
        <w:jc w:val="both"/>
        <w:rPr>
          <w:rFonts w:ascii="Courier New" w:hAnsi="Courier New"/>
          <w:sz w:val="24"/>
          <w:szCs w:val="24"/>
        </w:rPr>
      </w:pPr>
      <w:r>
        <w:rPr>
          <w:rFonts w:ascii="Courier New" w:hAnsi="Courier New"/>
          <w:b w:val="1"/>
          <w:bCs w:val="1"/>
          <w:sz w:val="24"/>
          <w:szCs w:val="24"/>
          <w:u w:val="single"/>
        </w:rPr>
        <w:t>Art.1</w:t>
      </w:r>
      <w:r>
        <w:rPr>
          <w:rFonts w:ascii="Courier New" w:hAnsi="Courier New"/>
          <w:b w:val="1"/>
          <w:bCs w:val="1"/>
          <w:sz w:val="24"/>
          <w:szCs w:val="24"/>
        </w:rPr>
        <w:t>:</w:t>
      </w:r>
      <w:r>
        <w:rPr>
          <w:rFonts w:ascii="Courier New" w:hAnsi="Courier New"/>
          <w:sz w:val="24"/>
          <w:szCs w:val="24"/>
        </w:rPr>
        <w:t xml:space="preserve"> </w:t>
      </w:r>
      <w:r>
        <w:rPr>
          <w:rFonts w:ascii="Courier New" w:hAnsi="Courier New"/>
          <w:b w:val="1"/>
          <w:bCs w:val="1"/>
          <w:sz w:val="24"/>
          <w:szCs w:val="24"/>
        </w:rPr>
        <w:t xml:space="preserve">SUSPÉNDASE </w:t>
      </w:r>
      <w:r>
        <w:rPr>
          <w:rFonts w:ascii="Courier New" w:hAnsi="Courier New"/>
          <w:sz w:val="24"/>
          <w:szCs w:val="24"/>
        </w:rPr>
        <w:t xml:space="preserve">en todos sus términos las aplicaciones y vigencia de la Ordenanza Nº 7512, por el lapso de 18 meses a partir de la sanción de la presente. </w:t>
      </w:r>
    </w:p>
    <w:p>
      <w:pPr>
        <w:jc w:val="both"/>
        <w:rPr>
          <w:rFonts w:ascii="Courier New" w:hAnsi="Courier New"/>
        </w:rPr>
      </w:pPr>
    </w:p>
    <w:p>
      <w:pPr>
        <w:pStyle w:val="P4"/>
        <w:ind w:hanging="851" w:left="851"/>
        <w:jc w:val="both"/>
        <w:rPr>
          <w:rFonts w:ascii="Courier New" w:hAnsi="Courier New"/>
          <w:sz w:val="24"/>
          <w:szCs w:val="24"/>
        </w:rPr>
      </w:pPr>
      <w:r>
        <w:rPr>
          <w:rFonts w:ascii="Courier New" w:hAnsi="Courier New"/>
          <w:b w:val="1"/>
          <w:bCs w:val="1"/>
          <w:sz w:val="24"/>
          <w:szCs w:val="24"/>
          <w:u w:val="single"/>
        </w:rPr>
        <w:t>Art.2</w:t>
      </w:r>
      <w:r>
        <w:rPr>
          <w:rFonts w:ascii="Courier New" w:hAnsi="Courier New"/>
          <w:b w:val="1"/>
          <w:bCs w:val="1"/>
          <w:sz w:val="24"/>
          <w:szCs w:val="24"/>
        </w:rPr>
        <w:t>:</w:t>
      </w:r>
      <w:r>
        <w:rPr>
          <w:rFonts w:ascii="Courier New" w:hAnsi="Courier New"/>
          <w:color w:val="FFFFFF"/>
          <w:sz w:val="24"/>
          <w:szCs w:val="24"/>
        </w:rPr>
        <w:t>0</w:t>
      </w:r>
      <w:r>
        <w:rPr>
          <w:rFonts w:ascii="Courier New" w:hAnsi="Courier New"/>
          <w:b w:val="1"/>
          <w:bCs w:val="1"/>
          <w:sz w:val="24"/>
          <w:szCs w:val="24"/>
        </w:rPr>
        <w:t>Protocolícese,</w:t>
      </w:r>
      <w:r>
        <w:rPr>
          <w:rFonts w:ascii="Courier New" w:hAnsi="Courier New"/>
          <w:sz w:val="24"/>
          <w:szCs w:val="24"/>
        </w:rPr>
        <w:t xml:space="preserve"> comuníquese, publíquese en el Boletín Oficial de la ciudad de Alta Gracia, incorpórese al libro de Ordenanzas y archívese.</w:t>
      </w:r>
    </w:p>
    <w:p>
      <w:pPr>
        <w:pStyle w:val="P4"/>
        <w:ind w:hanging="851" w:left="851"/>
        <w:jc w:val="both"/>
        <w:rPr>
          <w:rFonts w:ascii="Courier New" w:hAnsi="Courier New"/>
          <w:b w:val="1"/>
          <w:bCs w:val="1"/>
          <w:sz w:val="24"/>
          <w:szCs w:val="24"/>
          <w:u w:val="single"/>
        </w:rPr>
      </w:pPr>
    </w:p>
    <w:p>
      <w:pPr>
        <w:pStyle w:val="P4"/>
        <w:ind w:hanging="851" w:left="851"/>
        <w:jc w:val="both"/>
        <w:rPr>
          <w:rFonts w:ascii="Courier New" w:hAnsi="Courier New"/>
          <w:sz w:val="24"/>
          <w:szCs w:val="24"/>
        </w:rPr>
      </w:pPr>
    </w:p>
    <w:p>
      <w:pPr>
        <w:pStyle w:val="P4"/>
        <w:ind w:left="851"/>
        <w:jc w:val="both"/>
        <w:rPr>
          <w:rFonts w:ascii="Courier New" w:hAnsi="Courier New"/>
          <w:b w:val="1"/>
          <w:bCs w:val="1"/>
          <w:sz w:val="24"/>
          <w:szCs w:val="24"/>
        </w:rPr>
      </w:pPr>
      <w:r>
        <w:rPr>
          <w:rFonts w:ascii="Courier New" w:hAnsi="Courier New"/>
          <w:b w:val="1"/>
          <w:bCs w:val="1"/>
          <w:sz w:val="24"/>
          <w:szCs w:val="24"/>
        </w:rPr>
        <w:t xml:space="preserve">DADA EN LA SALA DE SESIONES DEL HONORABLE CONCEJO DELIBERANTE A LOS CINCO DIAS DEL MES DE ENERO DEL AÑO DOS MIL OCHO. </w:t>
      </w:r>
    </w:p>
    <w:p>
      <w:pPr>
        <w:pStyle w:val="P3"/>
        <w:jc w:val="both"/>
        <w:rPr>
          <w:rFonts w:ascii="Courier New" w:hAnsi="Courier New"/>
          <w:sz w:val="24"/>
          <w:szCs w:val="24"/>
        </w:rPr>
      </w:pPr>
    </w:p>
    <w:p>
      <w:pPr>
        <w:rPr>
          <w:rFonts w:ascii="Courier New" w:hAnsi="Courier New"/>
        </w:rPr>
      </w:pPr>
    </w:p>
    <w:sectPr>
      <w:type w:val="nextPage"/>
      <w:pgSz w:w="11906" w:h="16838" w:code="0"/>
      <w:pgMar w:left="1701" w:right="1701" w:top="1418" w:bottom="1418" w:header="720" w:footer="720" w:gutter="0"/>
      <w:cols w:equalWidth="1" w:space="72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mirrorMargins/>
  <w:defaultTabStop w:val="708"/>
  <w:autoHyphenation w:val="0"/>
  <w:hyphenationZone w:val="425"/>
  <w:evenAndOddHeaders w:val="0"/>
  <w:characterSpacingControl w:val="compressPunctuation"/>
  <w:compat>
    <w:alignTablesRowByRow/>
    <w:splitPgBreakAndParaMark/>
    <w:growAutofit/>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AR"/>
    </w:rPr>
  </w:style>
  <w:style w:type="paragraph" w:styleId="P1">
    <w:name w:val="Heading 1"/>
    <w:basedOn w:val="P0"/>
    <w:next w:val="P0"/>
    <w:pPr>
      <w:keepNext w:val="1"/>
      <w:jc w:val="center"/>
      <w:outlineLvl w:val="0"/>
    </w:pPr>
    <w:rPr>
      <w:rFonts w:ascii="Arial" w:hAnsi="Arial"/>
      <w:sz w:val="28"/>
      <w:szCs w:val="28"/>
      <w:lang/>
    </w:rPr>
  </w:style>
  <w:style w:type="paragraph" w:styleId="P2">
    <w:name w:val="Envelope Return"/>
    <w:basedOn w:val="P0"/>
    <w:next w:val="P2"/>
    <w:pPr/>
    <w:rPr>
      <w:rFonts w:ascii="Benguiat Bk BT" w:hAnsi="Benguiat Bk BT" w:cs="Arial"/>
      <w:b w:val="1"/>
      <w:i w:val="1"/>
      <w:bCs w:val="1"/>
      <w:iCs w:val="1"/>
      <w:u w:val="single"/>
    </w:rPr>
  </w:style>
  <w:style w:type="paragraph" w:styleId="P3">
    <w:name w:val="Title"/>
    <w:basedOn w:val="P0"/>
    <w:next w:val="P3"/>
    <w:pPr>
      <w:jc w:val="center"/>
    </w:pPr>
    <w:rPr>
      <w:rFonts w:ascii="Arial" w:hAnsi="Arial"/>
      <w:sz w:val="28"/>
      <w:szCs w:val="28"/>
      <w:lang/>
    </w:rPr>
  </w:style>
  <w:style w:type="paragraph" w:styleId="P4">
    <w:name w:val="Body Text"/>
    <w:basedOn w:val="P0"/>
    <w:next w:val="P4"/>
    <w:pPr/>
    <w:rPr>
      <w:rFonts w:ascii="Arial" w:hAnsi="Arial"/>
      <w:sz w:val="28"/>
      <w:szCs w:val="28"/>
      <w:lang/>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oficialia</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2026-07-09T18:40:16Z</dcterms:created>
  <cp:lastModifiedBy>Federico Parisi</cp:lastModifiedBy>
  <cp:lastPrinted>2007-12-28T23:15:00Z</cp:lastPrinted>
  <dcterms:modified xsi:type="dcterms:W3CDTF">2026-07-09T18:40:16Z</dcterms:modified>
  <cp:revision>2</cp:revision>
  <dc:title>PROYECTO DE ORDENANZA</dc:title>
</cp:coreProperties>
</file>