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7988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1064/02;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el Sr. Rubén Lanzieri, D.N.I N° 14066967, con domicilio en calle Italia N° 363 de Barrio Cámara de nuestra ciudad, solicita eximición de deuda de tasa actual por Servicios a la Propiedad, del inmueble desig. Catastral 3-1-153-006;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informa que la misma es única propiedad y el estudio socioeconómico realizado indica que los ingresos del grupo familiar son mínimos, provenientes de trabajos de compostura de calzado realizados por el peticionante;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6"/>
        <w:ind w:firstLine="0"/>
      </w:pPr>
      <w:r>
        <w:t>Que reunida al efecto y evaluada la solicitud planteada, la Comisión de Hacienda, emite despacho favorable, aprobado por unanimidad en Sesión Ordinaria de fecha 16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EL HONORABLE CONCEJO DELIBERATNTE DE LA CIUDAD DE 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 xml:space="preserve">     ALTA GRACIA SANCIONA CON FUERZA DE ORDENANZA</w:t>
      </w:r>
    </w:p>
    <w:p/>
    <w:p/>
    <w:p/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</w:t>
      </w:r>
      <w:r>
        <w:rPr>
          <w:rFonts w:ascii="Courier New" w:hAnsi="Courier New"/>
          <w:b w:val="1"/>
          <w:bCs w:val="1"/>
        </w:rPr>
        <w:t>ÍJESE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cómo cuota mensual a abonar en concepto de Tasa por Servicio a la Propiedad, por el inmueble desig. Catastral 3-1-153-006, la suma de PESOS DIEZ ($10.00), a partir de la sanción de la presente y por el término de un año, momento en que deberá realizarse nuevo Estudio Socioeconómico y prorrógase el beneficio en caso de mantenerse la situación actual;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EXIMIR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por cada cuota abonada en término según lo establecido en el Artículo 1° de la presente, cuatro cuotas de la deuda exigible.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ANTE </w:t>
      </w:r>
      <w:r>
        <w:rPr>
          <w:rFonts w:ascii="Courier New" w:hAnsi="Courier New"/>
        </w:rPr>
        <w:t xml:space="preserve">la falta de pago de cinco cuotas alternativas o consecutivas, al igual que en caso de cambio de titularidad o transferencia del inmueble en cuestión, el presente beneficio caducará automáticamente.  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 Sr. Intendente Municipal, interceda ante el procurador actuante en caso de corresponder, a los fines de dejar sin efecto el juicio y los honorarios, si este hubiere sido iniciado. 5140.</w:t>
      </w:r>
    </w:p>
    <w:p>
      <w:pPr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DIECISEIS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2026-07-09T18:39:25Z</dcterms:created>
  <cp:lastModifiedBy>Federico Parisi</cp:lastModifiedBy>
  <dcterms:modified xsi:type="dcterms:W3CDTF">2026-07-09T18:39:25Z</dcterms:modified>
  <cp:revision>2</cp:revision>
  <dc:title>PROYECTO DE ORDENANZA</dc:title>
</cp:coreProperties>
</file>