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7991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192/00;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la Sra. Francisca Paula Bea, solicita eximición de Tasa por Servicios a la Propiedad, del inmueble Designación Catastral 3-1-102-024 y de Tasa por Servicios de Administración y Mantenimiento de los Cementerios (Identificación N° 8012);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año 2000 por resolución de Dirección de Ingresos Públicos se le eximió por ambos conceptos en un cien por ciento hasta dicho año inclusive;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año 2006 presenta nueva nota pidiendo la pidiendo eximición de la deuda y la fijación de una cuota social para poder empezar a pagar;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realizado el estudio Socioeconómico, este indica que la solicitante vive sola y que sus ingresos provienen de una pensión mínima;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durante el tratamiento del Expediente, la Sra. Bea recibe cédula notificándole la iniciación de juicios por el cobro de tasas adeudadas; 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 xml:space="preserve">Que reunida al efecto y evaluando el contenido del Expediente en cuestión, la Comisión de Hacienda, emite despacho favorable, aprobado por unanimidad   en Sesión Ordinaria de fecha 24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rPr>
          <w:rFonts w:ascii="Courier New" w:hAnsi="Courier New"/>
        </w:rPr>
      </w:pPr>
    </w:p>
    <w:p/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r>
        <w:rPr>
          <w:rFonts w:ascii="Courier New" w:hAnsi="Courier New"/>
        </w:rPr>
        <w:t>...///2.-</w:t>
      </w:r>
    </w:p>
    <w:p/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una cuota mensual de PESOS DOCE ($12.00) a partir de la promulgación de la presente y por el término de un año a abonar en concepto de Tasa por Servicios a la Propiedad, al inmueble Designación Catastral 3-1-102-024.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POR </w:t>
      </w:r>
      <w:r>
        <w:rPr>
          <w:rFonts w:ascii="Courier New" w:hAnsi="Courier New"/>
        </w:rPr>
        <w:t>cada cuota de la Tasa actual abonada en término a partir de la promulgación de la presente, eximir CINCO (5) cuotas de la deuda correspondiente al inmueble Designación Catastral 3-1-102-024.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CAN</w:t>
      </w:r>
      <w:r>
        <w:rPr>
          <w:rFonts w:ascii="Courier New" w:hAnsi="Courier New"/>
          <w:b w:val="1"/>
          <w:bCs w:val="1"/>
        </w:rPr>
        <w:t>C</w:t>
      </w:r>
      <w:r>
        <w:rPr>
          <w:rFonts w:ascii="Courier New" w:hAnsi="Courier New"/>
          <w:b w:val="1"/>
          <w:bCs w:val="1"/>
        </w:rPr>
        <w:t>ELASE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el plan de pagos suscripto por la solicitante.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TRANSCURRIDO </w:t>
      </w:r>
      <w:r>
        <w:rPr>
          <w:rFonts w:ascii="Courier New" w:hAnsi="Courier New"/>
        </w:rPr>
        <w:t>el plazo establecido en el Artículo 1°, realizar un nuevo estudio Socioeconómico y prorrogar el beneficio por un año más en caso de mantenerse la situación actual.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</w:t>
      </w:r>
      <w:r>
        <w:rPr>
          <w:rFonts w:ascii="Courier New" w:hAnsi="Courier New"/>
          <w:b w:val="1"/>
          <w:bCs w:val="1"/>
          <w:u w:val="single"/>
        </w:rPr>
        <w:t>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ANTE </w:t>
      </w:r>
      <w:r>
        <w:rPr>
          <w:rFonts w:ascii="Courier New" w:hAnsi="Courier New"/>
        </w:rPr>
        <w:t>la falta de pago de CINCO (5) cuotas alternadas o consecutivas, al igual que en caso de cambio de titularidad o transferencia del inmueble, el beneficio caducará automáticamente.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POR </w:t>
      </w:r>
      <w:r>
        <w:rPr>
          <w:rFonts w:ascii="Courier New" w:hAnsi="Courier New"/>
        </w:rPr>
        <w:t>cada cuota abonada de Tasa por Servicios de Administración y Mantenimiento de los Cementerios (identificación N° 8012), a partir de la promulgación de la presente, eximir CINCO (5) cuotas de la deuda.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Art.7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LA </w:t>
      </w:r>
      <w:r>
        <w:rPr>
          <w:rFonts w:ascii="Courier New" w:hAnsi="Courier New"/>
        </w:rPr>
        <w:t>falta de pago de TRES (3) cuotas alternadas o consecutivas, de Tasa por Servicios de Administración y Mantenimiento de los Cementerios (identificación N° 8012) hará caducar el beneficio otorgado en el punto anterior.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</w:t>
      </w:r>
      <w:r>
        <w:rPr>
          <w:rFonts w:ascii="Courier New" w:hAnsi="Courier New"/>
          <w:b w:val="1"/>
          <w:bCs w:val="1"/>
          <w:u w:val="single"/>
        </w:rPr>
        <w:t>.8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SOLICITASE </w:t>
      </w:r>
      <w:r>
        <w:rPr>
          <w:rFonts w:ascii="Courier New" w:hAnsi="Courier New"/>
        </w:rPr>
        <w:t>al Sr. Intendente Municipal, interceda ante el o los Procuradores actuantes en caso de corresponder, a los fines de dejar sin efecto el o los juicios iniciados, gastos y honorarios originados.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Art.9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VEINTICUATRO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2026-07-09T18:39:00Z</dcterms:created>
  <cp:lastModifiedBy>Federico Parisi</cp:lastModifiedBy>
  <cp:lastPrinted>2008-09-24T00:30:00Z</cp:lastPrinted>
  <dcterms:modified xsi:type="dcterms:W3CDTF">2026-07-09T18:39:00Z</dcterms:modified>
  <cp:revision>2</cp:revision>
  <dc:title>PROYECTO DE ORDENANZA</dc:title>
</cp:coreProperties>
</file>