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jc w:val="left"/>
        <w:rPr>
          <w:rFonts w:ascii="Courier New" w:hAnsi="Courier New"/>
          <w:sz w:val="24"/>
          <w:szCs w:val="24"/>
        </w:rPr>
      </w:pPr>
    </w:p>
    <w:p>
      <w:pPr>
        <w:pStyle w:val="P3"/>
        <w:rPr>
          <w:rFonts w:ascii="Courier New" w:hAnsi="Courier New"/>
          <w:sz w:val="24"/>
          <w:szCs w:val="24"/>
        </w:rPr>
      </w:pPr>
    </w:p>
    <w:p>
      <w:pPr>
        <w:pStyle w:val="P3"/>
        <w:rPr>
          <w:rFonts w:ascii="Courier New" w:hAnsi="Courier New"/>
          <w:sz w:val="24"/>
          <w:szCs w:val="24"/>
        </w:rPr>
      </w:pPr>
    </w:p>
    <w:p>
      <w:pPr>
        <w:pStyle w:val="P3"/>
        <w:rPr>
          <w:rFonts w:ascii="Courier New" w:hAnsi="Courier New"/>
          <w:sz w:val="24"/>
          <w:szCs w:val="24"/>
        </w:rPr>
      </w:pPr>
      <w:r>
        <w:rPr>
          <w:rFonts w:ascii="Courier New" w:hAnsi="Courier New"/>
          <w:sz w:val="24"/>
          <w:szCs w:val="24"/>
        </w:rPr>
        <w:t>ORDENANZA N° 8126</w:t>
      </w:r>
    </w:p>
    <w:p>
      <w:pPr>
        <w:jc w:val="both"/>
        <w:rPr>
          <w:rFonts w:ascii="Courier New" w:hAnsi="Courier New"/>
          <w:b w:val="1"/>
          <w:bCs w:val="1"/>
        </w:rPr>
      </w:pPr>
    </w:p>
    <w:p>
      <w:pPr>
        <w:jc w:val="both"/>
        <w:rPr>
          <w:rFonts w:ascii="Courier New" w:hAnsi="Courier New"/>
          <w:b w:val="1"/>
          <w:bCs w:val="1"/>
        </w:rPr>
      </w:pPr>
    </w:p>
    <w:p>
      <w:pPr>
        <w:pStyle w:val="P6"/>
      </w:pPr>
      <w:r>
        <w:t xml:space="preserve">Visto: El Expediente N° 62/02; y </w:t>
      </w:r>
    </w:p>
    <w:p>
      <w:pPr>
        <w:ind w:hanging="748" w:left="748"/>
        <w:jc w:val="both"/>
        <w:rPr>
          <w:rFonts w:ascii="Courier New" w:hAnsi="Courier New"/>
        </w:rPr>
      </w:pPr>
    </w:p>
    <w:p>
      <w:pPr>
        <w:ind w:hanging="748" w:left="748"/>
        <w:jc w:val="both"/>
        <w:rPr>
          <w:rFonts w:ascii="Courier New" w:hAnsi="Courier New"/>
        </w:rPr>
      </w:pPr>
    </w:p>
    <w:p>
      <w:pPr>
        <w:pStyle w:val="P1"/>
        <w:rPr>
          <w:rFonts w:ascii="Courier New" w:hAnsi="Courier New"/>
          <w:sz w:val="24"/>
          <w:szCs w:val="24"/>
        </w:rPr>
      </w:pPr>
      <w:r>
        <w:rPr>
          <w:rFonts w:ascii="Courier New" w:hAnsi="Courier New"/>
          <w:sz w:val="24"/>
          <w:szCs w:val="24"/>
        </w:rPr>
        <w:t>C O N S I D E R A N D O</w:t>
      </w:r>
    </w:p>
    <w:p/>
    <w:p>
      <w:pPr>
        <w:pStyle w:val="P1"/>
        <w:rPr>
          <w:rFonts w:ascii="Courier New" w:hAnsi="Courier New"/>
          <w:sz w:val="24"/>
          <w:szCs w:val="24"/>
        </w:rPr>
      </w:pPr>
    </w:p>
    <w:p>
      <w:pPr>
        <w:ind w:left="748"/>
        <w:jc w:val="both"/>
        <w:rPr>
          <w:rFonts w:ascii="Courier New" w:hAnsi="Courier New"/>
        </w:rPr>
      </w:pPr>
      <w:r>
        <w:rPr>
          <w:rFonts w:ascii="Courier New" w:hAnsi="Courier New"/>
        </w:rPr>
        <w:t>Que el mismo es iniciado por la Sra. Liliana del Carmen Torres de Arguello solicitando eximición de Tasas por Servicios a la Propiedad correspondiente al inmueble donde funciona la organización denominada Asamblea Cristiana, designación catastral 03-01-126-010-000;</w:t>
      </w:r>
    </w:p>
    <w:p>
      <w:pPr>
        <w:ind w:left="748"/>
        <w:jc w:val="both"/>
        <w:rPr>
          <w:rFonts w:ascii="Courier New" w:hAnsi="Courier New"/>
        </w:rPr>
      </w:pPr>
    </w:p>
    <w:p>
      <w:pPr>
        <w:ind w:left="748"/>
        <w:jc w:val="both"/>
        <w:rPr>
          <w:rFonts w:ascii="Courier New" w:hAnsi="Courier New"/>
        </w:rPr>
      </w:pPr>
      <w:r>
        <w:rPr>
          <w:rFonts w:ascii="Courier New" w:hAnsi="Courier New"/>
        </w:rPr>
        <w:t>Que mediante reiteradas Resoluciones emanadas de la Dirección de Ingresos Públicos en uso de sus atribuciones se viene eximiendo del pago de la tasa desde el periodo 95/01 al periodo 2008 inclusive ;</w:t>
      </w:r>
    </w:p>
    <w:p>
      <w:pPr>
        <w:ind w:left="748"/>
        <w:jc w:val="both"/>
        <w:rPr>
          <w:rFonts w:ascii="Courier New" w:hAnsi="Courier New"/>
        </w:rPr>
      </w:pPr>
    </w:p>
    <w:p>
      <w:pPr>
        <w:ind w:left="748"/>
        <w:jc w:val="both"/>
        <w:rPr>
          <w:rFonts w:ascii="Courier New" w:hAnsi="Courier New"/>
        </w:rPr>
      </w:pPr>
      <w:r>
        <w:rPr>
          <w:rFonts w:ascii="Courier New" w:hAnsi="Courier New"/>
        </w:rPr>
        <w:t>Que a fs. 24 se anexa nota solicitando eximición por la deuda generada a raíz de la obra de gas natural;</w:t>
      </w:r>
    </w:p>
    <w:p>
      <w:pPr>
        <w:ind w:left="748"/>
        <w:jc w:val="both"/>
        <w:rPr>
          <w:rFonts w:ascii="Courier New" w:hAnsi="Courier New"/>
        </w:rPr>
      </w:pPr>
    </w:p>
    <w:p>
      <w:pPr>
        <w:ind w:left="748"/>
        <w:jc w:val="both"/>
        <w:rPr>
          <w:rFonts w:ascii="Courier New" w:hAnsi="Courier New"/>
        </w:rPr>
      </w:pPr>
      <w:r>
        <w:rPr>
          <w:rFonts w:ascii="Courier New" w:hAnsi="Courier New"/>
        </w:rPr>
        <w:t xml:space="preserve">Que mediante Ordenanza Nº 2077, se “Declara de Utilidad Pública y Pago Obligatorio a cargo de toda la población, la ejecución total o parcial de los trabajos de construcción del gasoducto….,   y  los frentistas afectados a la ejecución total o parcial de los trabajos de construcción de la red de distribución….”;</w:t>
      </w:r>
    </w:p>
    <w:p>
      <w:pPr>
        <w:ind w:left="748"/>
        <w:jc w:val="both"/>
        <w:rPr>
          <w:rFonts w:ascii="Courier New" w:hAnsi="Courier New"/>
        </w:rPr>
      </w:pPr>
    </w:p>
    <w:p>
      <w:pPr>
        <w:ind w:left="748"/>
        <w:jc w:val="both"/>
        <w:rPr>
          <w:rFonts w:ascii="Courier New" w:hAnsi="Courier New"/>
        </w:rPr>
      </w:pPr>
      <w:r>
        <w:rPr>
          <w:rFonts w:ascii="Courier New" w:hAnsi="Courier New"/>
        </w:rPr>
        <w:t xml:space="preserve">Que la misma Ordenanza establece en su Art. 19º:  “Están obligados igualmente al pago ……, los inmuebles de dominio público o privado, nacional, provincial o municipal, incluyéndose sin excepción a toda clase de entidades o instituciones de cualquier índole salvo ordenanza en contrario que determine excepción expresa…”;</w:t>
      </w:r>
    </w:p>
    <w:p>
      <w:pPr>
        <w:ind w:left="748"/>
        <w:jc w:val="both"/>
        <w:rPr>
          <w:rFonts w:ascii="Courier New" w:hAnsi="Courier New"/>
        </w:rPr>
      </w:pPr>
    </w:p>
    <w:p>
      <w:pPr>
        <w:ind w:left="748"/>
        <w:jc w:val="both"/>
        <w:rPr>
          <w:rFonts w:ascii="Courier New" w:hAnsi="Courier New"/>
        </w:rPr>
      </w:pPr>
      <w:r>
        <w:rPr>
          <w:rFonts w:ascii="Courier New" w:hAnsi="Courier New"/>
        </w:rPr>
        <w:t>Que mediante Ordenanza Nº 5027 se “Autoriza al D.E. a confeccionar la listas de deudores de las obras de gas que soliciten beneficiarse con el convenio suscripto entre la Municipalidad y las Empresas….. conforme a la Ordenanza Nº 4975….”;</w:t>
      </w:r>
    </w:p>
    <w:p>
      <w:pPr>
        <w:ind w:left="748"/>
        <w:jc w:val="right"/>
        <w:rPr>
          <w:rFonts w:ascii="Courier New" w:hAnsi="Courier New"/>
        </w:rPr>
      </w:pPr>
      <w:r>
        <w:rPr>
          <w:rFonts w:ascii="Courier New" w:hAnsi="Courier New"/>
        </w:rPr>
        <w:t>...///</w:t>
      </w:r>
    </w:p>
    <w:p>
      <w:pPr>
        <w:ind w:left="748"/>
        <w:jc w:val="both"/>
        <w:rPr>
          <w:rFonts w:ascii="Courier New" w:hAnsi="Courier New"/>
        </w:rPr>
      </w:pPr>
    </w:p>
    <w:p>
      <w:pPr>
        <w:ind w:left="748"/>
        <w:jc w:val="both"/>
        <w:rPr>
          <w:rFonts w:ascii="Courier New" w:hAnsi="Courier New"/>
        </w:rPr>
      </w:pPr>
    </w:p>
    <w:p>
      <w:pPr>
        <w:ind w:left="748"/>
        <w:jc w:val="both"/>
        <w:rPr>
          <w:rFonts w:ascii="Courier New" w:hAnsi="Courier New"/>
        </w:rPr>
      </w:pPr>
    </w:p>
    <w:p>
      <w:pPr>
        <w:ind w:left="748"/>
        <w:jc w:val="both"/>
        <w:rPr>
          <w:rFonts w:ascii="Courier New" w:hAnsi="Courier New"/>
        </w:rPr>
      </w:pPr>
    </w:p>
    <w:p>
      <w:pPr>
        <w:ind w:left="748"/>
        <w:jc w:val="both"/>
        <w:rPr>
          <w:rFonts w:ascii="Courier New" w:hAnsi="Courier New"/>
        </w:rPr>
      </w:pPr>
    </w:p>
    <w:p>
      <w:pPr>
        <w:ind w:left="748"/>
        <w:jc w:val="both"/>
        <w:rPr>
          <w:rFonts w:ascii="Courier New" w:hAnsi="Courier New"/>
        </w:rPr>
      </w:pPr>
      <w:r>
        <w:rPr>
          <w:rFonts w:ascii="Courier New" w:hAnsi="Courier New"/>
          <w:b w:val="1"/>
          <w:bCs w:val="1"/>
        </w:rPr>
        <w:t>...///2</w:t>
      </w:r>
      <w:r>
        <w:rPr>
          <w:rFonts w:ascii="Courier New" w:hAnsi="Courier New"/>
          <w:b w:val="1"/>
          <w:bCs w:val="1"/>
        </w:rPr>
        <w:t>.-</w:t>
      </w:r>
    </w:p>
    <w:p>
      <w:pPr>
        <w:jc w:val="both"/>
        <w:rPr>
          <w:rFonts w:ascii="Courier New" w:hAnsi="Courier New"/>
        </w:rPr>
      </w:pPr>
    </w:p>
    <w:p>
      <w:pPr>
        <w:ind w:left="748"/>
        <w:jc w:val="both"/>
        <w:rPr>
          <w:rFonts w:ascii="Courier New" w:hAnsi="Courier New"/>
        </w:rPr>
      </w:pPr>
      <w:r>
        <w:rPr>
          <w:rFonts w:ascii="Courier New" w:hAnsi="Courier New"/>
        </w:rPr>
        <w:t>Que mediante Ordenanza Nº 6635 sancionada en octubre de 2003, se aprueba una ampliación de la nomina de deudores de las obras de gas que solicitaron ser incluidos en el convenio celebrado entre la Municipalidad y las empresas donde figura el inmueble designación catastral 03-01-126-010 con deuda con la empresa Cidem y con un monto de cuota de pesos Diez ($10.00);</w:t>
      </w:r>
    </w:p>
    <w:p>
      <w:pPr>
        <w:ind w:left="748"/>
        <w:jc w:val="both"/>
        <w:rPr>
          <w:rFonts w:ascii="Courier New" w:hAnsi="Courier New"/>
        </w:rPr>
      </w:pPr>
    </w:p>
    <w:p>
      <w:pPr>
        <w:ind w:left="748"/>
        <w:jc w:val="both"/>
        <w:rPr>
          <w:rFonts w:ascii="Courier New" w:hAnsi="Courier New"/>
        </w:rPr>
      </w:pPr>
      <w:r>
        <w:rPr>
          <w:rFonts w:ascii="Courier New" w:hAnsi="Courier New"/>
        </w:rPr>
        <w:t>Que a pesar de la facilidad de pago y el tiempo transcurrido, la deuda contraída nunca fue abonada;</w:t>
      </w:r>
    </w:p>
    <w:p>
      <w:pPr>
        <w:ind w:left="748"/>
        <w:jc w:val="both"/>
        <w:rPr>
          <w:rFonts w:ascii="Courier New" w:hAnsi="Courier New"/>
        </w:rPr>
      </w:pPr>
    </w:p>
    <w:p>
      <w:pPr>
        <w:pStyle w:val="P7"/>
      </w:pPr>
      <w:r>
        <w:t xml:space="preserve">Que no obstante ello  y teniendo en cuenta que la organización se encuentra reconocida e inscripta en el Registro Nacional de Cultos bajo el Nº 64;</w:t>
      </w:r>
    </w:p>
    <w:p>
      <w:pPr>
        <w:jc w:val="both"/>
        <w:rPr>
          <w:rFonts w:ascii="Courier New" w:hAnsi="Courier New"/>
        </w:rPr>
      </w:pPr>
    </w:p>
    <w:p>
      <w:pPr>
        <w:pStyle w:val="P7"/>
      </w:pPr>
      <w:r>
        <w:t>Que evaluado el Expediente de referencia por la Comisión de Hacienda, se emite despacho favorable, aprobado por unanimidad en Sesión Ordinaria del 30 de Julio de 2008.</w:t>
      </w:r>
    </w:p>
    <w:p/>
    <w:p>
      <w:pPr>
        <w:pStyle w:val="P1"/>
        <w:rPr>
          <w:rFonts w:ascii="Courier New" w:hAnsi="Courier New"/>
          <w:sz w:val="24"/>
          <w:szCs w:val="24"/>
        </w:rPr>
      </w:pPr>
    </w:p>
    <w:p>
      <w:pPr>
        <w:pStyle w:val="P1"/>
        <w:rPr>
          <w:rFonts w:ascii="Courier New" w:hAnsi="Courier New"/>
          <w:sz w:val="24"/>
          <w:szCs w:val="24"/>
        </w:rPr>
      </w:pPr>
      <w:r>
        <w:rPr>
          <w:rFonts w:ascii="Courier New" w:hAnsi="Courier New"/>
          <w:sz w:val="24"/>
          <w:szCs w:val="24"/>
        </w:rPr>
        <w:t>EL HONORABLE CONCEJO DELIBERANTE DE LA CIUDAD DE</w:t>
      </w:r>
    </w:p>
    <w:p>
      <w:pPr>
        <w:pStyle w:val="P2"/>
        <w:rPr>
          <w:rFonts w:ascii="Courier New" w:hAnsi="Courier New"/>
        </w:rPr>
      </w:pPr>
      <w:r>
        <w:rPr>
          <w:rFonts w:ascii="Courier New" w:hAnsi="Courier New"/>
        </w:rPr>
        <w:t>ALTA GRACIA SANCIONA CON FUERZA DE ORDENANZA</w:t>
      </w:r>
    </w:p>
    <w:p>
      <w:pPr>
        <w:rPr>
          <w:rFonts w:ascii="Courier New" w:hAnsi="Courier New"/>
        </w:rPr>
      </w:pPr>
    </w:p>
    <w:p>
      <w:pPr>
        <w:rPr>
          <w:rFonts w:ascii="Courier New" w:hAnsi="Courier New"/>
        </w:rPr>
      </w:pPr>
    </w:p>
    <w:p>
      <w:pPr>
        <w:pStyle w:val="P5"/>
        <w:ind w:hanging="748" w:left="748"/>
        <w:rPr>
          <w:rFonts w:ascii="Courier New" w:hAnsi="Courier New"/>
          <w:b w:val="1"/>
          <w:bCs w:val="1"/>
        </w:rPr>
      </w:pPr>
      <w:r>
        <w:rPr>
          <w:rFonts w:ascii="Courier New" w:hAnsi="Courier New"/>
          <w:u w:val="single"/>
        </w:rPr>
        <w:t>Art.1</w:t>
      </w:r>
      <w:r>
        <w:rPr>
          <w:rFonts w:ascii="Courier New" w:hAnsi="Courier New"/>
        </w:rPr>
        <w:t xml:space="preserve">: EXÍMASE </w:t>
      </w:r>
      <w:r>
        <w:rPr>
          <w:rFonts w:ascii="Courier New" w:hAnsi="Courier New"/>
          <w:b w:val="0"/>
          <w:bCs w:val="0"/>
        </w:rPr>
        <w:t>en un cincuenta por ciento</w:t>
      </w:r>
      <w:r>
        <w:rPr>
          <w:rFonts w:ascii="Courier New" w:hAnsi="Courier New"/>
          <w:b w:val="0"/>
          <w:bCs w:val="0"/>
        </w:rPr>
        <w:t xml:space="preserve"> (50%)</w:t>
      </w:r>
      <w:r>
        <w:rPr>
          <w:rFonts w:ascii="Courier New" w:hAnsi="Courier New"/>
          <w:b w:val="0"/>
          <w:bCs w:val="0"/>
        </w:rPr>
        <w:t xml:space="preserve"> la deuda que en concepto </w:t>
      </w:r>
      <w:r>
        <w:rPr>
          <w:rFonts w:ascii="Courier New" w:hAnsi="Courier New"/>
          <w:b w:val="0"/>
          <w:bCs w:val="0"/>
        </w:rPr>
        <w:t xml:space="preserve">de Contribución por Mejoras por Obra de Gas </w:t>
      </w:r>
      <w:r>
        <w:rPr>
          <w:rFonts w:ascii="Courier New" w:hAnsi="Courier New"/>
          <w:b w:val="0"/>
          <w:bCs w:val="0"/>
        </w:rPr>
        <w:t xml:space="preserve">mantiene con la Municipalidad de Alta Gracia, el inmueble designación catastral </w:t>
      </w:r>
      <w:r>
        <w:rPr>
          <w:rFonts w:ascii="Courier New" w:hAnsi="Courier New"/>
          <w:b w:val="0"/>
          <w:bCs w:val="0"/>
        </w:rPr>
        <w:t>03-01-126-010-000.</w:t>
      </w:r>
      <w:r>
        <w:rPr>
          <w:rFonts w:ascii="Courier New" w:hAnsi="Courier New"/>
          <w:b w:val="0"/>
          <w:bCs w:val="0"/>
        </w:rPr>
        <w:t>-</w:t>
      </w:r>
    </w:p>
    <w:p>
      <w:pPr>
        <w:pStyle w:val="P5"/>
        <w:ind w:hanging="748" w:left="748"/>
        <w:rPr>
          <w:rFonts w:ascii="Courier New" w:hAnsi="Courier New"/>
        </w:rPr>
      </w:pPr>
    </w:p>
    <w:p>
      <w:pPr>
        <w:pStyle w:val="P5"/>
        <w:ind w:hanging="748" w:left="748"/>
        <w:rPr>
          <w:rFonts w:ascii="Courier New" w:hAnsi="Courier New"/>
          <w:b w:val="1"/>
          <w:bCs w:val="1"/>
        </w:rPr>
      </w:pPr>
      <w:r>
        <w:rPr>
          <w:rFonts w:ascii="Courier New" w:hAnsi="Courier New"/>
          <w:u w:val="single"/>
        </w:rPr>
        <w:t>Art.2</w:t>
      </w:r>
      <w:r>
        <w:rPr>
          <w:rFonts w:ascii="Courier New" w:hAnsi="Courier New"/>
        </w:rPr>
        <w:t>:</w:t>
      </w:r>
      <w:r>
        <w:t xml:space="preserve"> </w:t>
      </w:r>
      <w:r>
        <w:rPr>
          <w:rFonts w:ascii="Courier New" w:hAnsi="Courier New"/>
        </w:rPr>
        <w:t xml:space="preserve">AUTORÍZASE </w:t>
      </w:r>
      <w:r>
        <w:rPr>
          <w:rFonts w:ascii="Courier New" w:hAnsi="Courier New"/>
          <w:b w:val="0"/>
          <w:bCs w:val="0"/>
        </w:rPr>
        <w:t xml:space="preserve">al Departamento Ejecutivo suscribir nuevo convenio con el responsable del inmueble designación catastral 03-01-126-010 para abonar el saldo resultante luego de la aplicación del precepto anterior, en cuotas que no supere el monto de </w:t>
      </w:r>
      <w:r>
        <w:rPr>
          <w:rFonts w:ascii="Courier New" w:hAnsi="Courier New"/>
          <w:b w:val="0"/>
          <w:bCs w:val="0"/>
        </w:rPr>
        <w:t>PESOS</w:t>
      </w:r>
      <w:r>
        <w:rPr>
          <w:rFonts w:ascii="Courier New" w:hAnsi="Courier New"/>
          <w:b w:val="0"/>
          <w:bCs w:val="0"/>
        </w:rPr>
        <w:t xml:space="preserve"> </w:t>
      </w:r>
      <w:r>
        <w:rPr>
          <w:rFonts w:ascii="Courier New" w:hAnsi="Courier New"/>
          <w:b w:val="0"/>
          <w:bCs w:val="0"/>
        </w:rPr>
        <w:t>VEINTE</w:t>
      </w:r>
      <w:r>
        <w:rPr>
          <w:rFonts w:ascii="Courier New" w:hAnsi="Courier New"/>
          <w:b w:val="0"/>
          <w:bCs w:val="0"/>
        </w:rPr>
        <w:t xml:space="preserve"> </w:t>
      </w:r>
      <w:r>
        <w:rPr>
          <w:rFonts w:ascii="Courier New" w:hAnsi="Courier New"/>
          <w:b w:val="0"/>
          <w:bCs w:val="0"/>
        </w:rPr>
        <w:t xml:space="preserve">($20.00), tomando como base el monto remanente  a valores históricos y con un plan sin intereses.</w:t>
      </w:r>
      <w:r>
        <w:rPr>
          <w:rFonts w:ascii="Courier New" w:hAnsi="Courier New"/>
          <w:b w:val="0"/>
          <w:bCs w:val="0"/>
        </w:rPr>
        <w:t>-</w:t>
      </w:r>
      <w:r>
        <w:rPr>
          <w:rFonts w:ascii="Courier New" w:hAnsi="Courier New"/>
          <w:b w:val="0"/>
          <w:bCs w:val="0"/>
        </w:rPr>
        <w:t xml:space="preserve"> </w:t>
      </w:r>
    </w:p>
    <w:p>
      <w:pPr>
        <w:pStyle w:val="P5"/>
        <w:ind w:hanging="748" w:left="748"/>
        <w:rPr>
          <w:rFonts w:ascii="Courier New" w:hAnsi="Courier New"/>
          <w:u w:val="single"/>
        </w:rPr>
      </w:pPr>
    </w:p>
    <w:p>
      <w:pPr>
        <w:pStyle w:val="P5"/>
        <w:ind w:hanging="748" w:left="748"/>
        <w:rPr>
          <w:rFonts w:ascii="Courier New" w:hAnsi="Courier New"/>
          <w:b w:val="1"/>
          <w:bCs w:val="1"/>
        </w:rPr>
      </w:pPr>
    </w:p>
    <w:p>
      <w:pPr>
        <w:pStyle w:val="P5"/>
        <w:ind w:hanging="748" w:left="748"/>
        <w:jc w:val="right"/>
        <w:rPr>
          <w:rFonts w:ascii="Courier New" w:hAnsi="Courier New"/>
          <w:b w:val="1"/>
          <w:bCs w:val="1"/>
        </w:rPr>
      </w:pPr>
      <w:r>
        <w:rPr>
          <w:rFonts w:ascii="Courier New" w:hAnsi="Courier New"/>
          <w:b w:val="0"/>
          <w:bCs w:val="0"/>
        </w:rPr>
        <w:t>...///</w:t>
      </w:r>
    </w:p>
    <w:p>
      <w:pPr>
        <w:pStyle w:val="P5"/>
        <w:ind w:hanging="748" w:left="748"/>
        <w:rPr>
          <w:rFonts w:ascii="Courier New" w:hAnsi="Courier New"/>
          <w:b w:val="1"/>
          <w:bCs w:val="1"/>
        </w:rPr>
      </w:pPr>
    </w:p>
    <w:p>
      <w:pPr>
        <w:pStyle w:val="P5"/>
        <w:ind w:hanging="748" w:left="748"/>
        <w:rPr>
          <w:rFonts w:ascii="Courier New" w:hAnsi="Courier New"/>
          <w:b w:val="1"/>
          <w:bCs w:val="1"/>
        </w:rPr>
      </w:pPr>
    </w:p>
    <w:p>
      <w:pPr>
        <w:pStyle w:val="P5"/>
        <w:ind w:hanging="748" w:left="748"/>
        <w:rPr>
          <w:rFonts w:ascii="Courier New" w:hAnsi="Courier New"/>
          <w:b w:val="1"/>
          <w:bCs w:val="1"/>
        </w:rPr>
      </w:pPr>
    </w:p>
    <w:p>
      <w:pPr>
        <w:pStyle w:val="P5"/>
        <w:ind w:hanging="748" w:left="748"/>
        <w:rPr>
          <w:rFonts w:ascii="Courier New" w:hAnsi="Courier New"/>
          <w:b w:val="1"/>
          <w:bCs w:val="1"/>
        </w:rPr>
      </w:pPr>
    </w:p>
    <w:p>
      <w:pPr>
        <w:pStyle w:val="P5"/>
        <w:ind w:hanging="748" w:left="748"/>
        <w:rPr>
          <w:rFonts w:ascii="Courier New" w:hAnsi="Courier New"/>
          <w:b w:val="1"/>
          <w:bCs w:val="1"/>
        </w:rPr>
      </w:pPr>
    </w:p>
    <w:p>
      <w:pPr>
        <w:pStyle w:val="P5"/>
        <w:ind w:hanging="748" w:left="748"/>
        <w:rPr>
          <w:rFonts w:ascii="Courier New" w:hAnsi="Courier New"/>
          <w:b w:val="1"/>
          <w:bCs w:val="1"/>
        </w:rPr>
      </w:pPr>
    </w:p>
    <w:p>
      <w:pPr>
        <w:pStyle w:val="P5"/>
        <w:ind w:hanging="748" w:left="748"/>
        <w:rPr>
          <w:rFonts w:ascii="Courier New" w:hAnsi="Courier New"/>
          <w:b w:val="1"/>
          <w:bCs w:val="1"/>
        </w:rPr>
      </w:pPr>
    </w:p>
    <w:p>
      <w:pPr>
        <w:pStyle w:val="P5"/>
        <w:ind w:hanging="748" w:left="748"/>
        <w:rPr>
          <w:rFonts w:ascii="Courier New" w:hAnsi="Courier New"/>
          <w:b w:val="1"/>
          <w:bCs w:val="1"/>
        </w:rPr>
      </w:pPr>
      <w:r>
        <w:rPr>
          <w:rFonts w:ascii="Courier New" w:hAnsi="Courier New"/>
          <w:b w:val="0"/>
          <w:bCs w:val="0"/>
        </w:rPr>
        <w:t>...///3</w:t>
      </w:r>
      <w:r>
        <w:rPr>
          <w:rFonts w:ascii="Courier New" w:hAnsi="Courier New"/>
          <w:b w:val="0"/>
          <w:bCs w:val="0"/>
        </w:rPr>
        <w:t>.-</w:t>
      </w:r>
    </w:p>
    <w:p>
      <w:pPr>
        <w:pStyle w:val="P5"/>
        <w:ind w:hanging="748" w:left="748"/>
        <w:rPr>
          <w:rFonts w:ascii="Courier New" w:hAnsi="Courier New"/>
          <w:b w:val="1"/>
          <w:bCs w:val="1"/>
        </w:rPr>
      </w:pPr>
    </w:p>
    <w:p>
      <w:pPr>
        <w:pStyle w:val="P5"/>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TREINTA                 DÍAS DEL MES DE JULIO DEL AÑO DOS MIL OCHO.-</w:t>
      </w:r>
    </w:p>
    <w:p>
      <w:pPr>
        <w:pStyle w:val="P5"/>
        <w:rPr>
          <w:rFonts w:ascii="Courier New" w:hAnsi="Courier New"/>
        </w:rPr>
      </w:pPr>
    </w:p>
    <w:p>
      <w:pPr>
        <w:pStyle w:val="P5"/>
        <w:rPr>
          <w:rFonts w:ascii="Courier New" w:hAnsi="Courier New"/>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b w:val="1"/>
      <w:bCs w:val="1"/>
      <w:sz w:val="28"/>
      <w:szCs w:val="28"/>
    </w:rPr>
  </w:style>
  <w:style w:type="paragraph" w:styleId="P2">
    <w:name w:val="Heading 2"/>
    <w:basedOn w:val="P0"/>
    <w:next w:val="P0"/>
    <w:pPr>
      <w:keepNext w:val="1"/>
      <w:jc w:val="center"/>
      <w:outlineLvl w:val="1"/>
    </w:pPr>
    <w:rPr>
      <w:b w:val="1"/>
      <w:bCs w:val="1"/>
    </w:rPr>
  </w:style>
  <w:style w:type="paragraph" w:styleId="P3">
    <w:name w:val="Title"/>
    <w:basedOn w:val="P0"/>
    <w:next w:val="P3"/>
    <w:pPr>
      <w:jc w:val="center"/>
    </w:pPr>
    <w:rPr>
      <w:b w:val="1"/>
      <w:bCs w:val="1"/>
      <w:sz w:val="28"/>
      <w:szCs w:val="28"/>
      <w:u w:val="single"/>
    </w:rPr>
  </w:style>
  <w:style w:type="paragraph" w:styleId="P4">
    <w:name w:val="Body Text"/>
    <w:basedOn w:val="P0"/>
    <w:next w:val="P4"/>
    <w:pPr>
      <w:jc w:val="both"/>
    </w:pPr>
    <w:rPr>
      <w:sz w:val="28"/>
      <w:szCs w:val="28"/>
    </w:rPr>
  </w:style>
  <w:style w:type="paragraph" w:styleId="P5">
    <w:name w:val="Body Text 2"/>
    <w:basedOn w:val="P0"/>
    <w:next w:val="P5"/>
    <w:pPr>
      <w:jc w:val="both"/>
    </w:pPr>
    <w:rPr>
      <w:b w:val="1"/>
      <w:bCs w:val="1"/>
    </w:rPr>
  </w:style>
  <w:style w:type="paragraph" w:styleId="P6">
    <w:name w:val="Body Text Indent"/>
    <w:basedOn w:val="P0"/>
    <w:next w:val="P6"/>
    <w:pPr>
      <w:ind w:hanging="748" w:left="748"/>
      <w:jc w:val="both"/>
    </w:pPr>
    <w:rPr>
      <w:rFonts w:ascii="Courier New" w:hAnsi="Courier New"/>
    </w:rPr>
  </w:style>
  <w:style w:type="paragraph" w:styleId="P7">
    <w:name w:val="Body Text Indent 2"/>
    <w:basedOn w:val="P0"/>
    <w:next w:val="P7"/>
    <w:pPr>
      <w:ind w:left="748"/>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2026-07-09T18:36:06Z</dcterms:created>
  <cp:lastModifiedBy>Federico Parisi</cp:lastModifiedBy>
  <cp:lastPrinted>2008-08-02T08:37:00Z</cp:lastPrinted>
  <dcterms:modified xsi:type="dcterms:W3CDTF">2026-07-09T18:36:06Z</dcterms:modified>
  <cp:revision>2</cp:revision>
  <dc:title>PROYECTO DE ORDENANZA</dc:title>
</cp:coreProperties>
</file>