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rPr>
          <w:rFonts w:ascii="Courier New" w:hAnsi="Courier New"/>
          <w:sz w:val="24"/>
          <w:szCs w:val="24"/>
        </w:rPr>
      </w:pPr>
    </w:p>
    <w:p>
      <w:pPr>
        <w:pStyle w:val="P3"/>
        <w:rPr>
          <w:rFonts w:ascii="Courier New" w:hAnsi="Courier New"/>
          <w:sz w:val="24"/>
          <w:szCs w:val="24"/>
        </w:rPr>
      </w:pPr>
    </w:p>
    <w:p>
      <w:pPr>
        <w:pStyle w:val="P3"/>
        <w:rPr>
          <w:rFonts w:ascii="Courier New" w:hAnsi="Courier New"/>
          <w:sz w:val="24"/>
          <w:szCs w:val="24"/>
        </w:rPr>
      </w:pPr>
      <w:r>
        <w:rPr>
          <w:rFonts w:ascii="Courier New" w:hAnsi="Courier New"/>
          <w:sz w:val="24"/>
          <w:szCs w:val="24"/>
        </w:rPr>
        <w:t>ORDENANZA N° 8129</w:t>
      </w:r>
    </w:p>
    <w:p>
      <w:pPr>
        <w:jc w:val="both"/>
        <w:rPr>
          <w:rFonts w:ascii="Courier New" w:hAnsi="Courier New"/>
          <w:b w:val="1"/>
          <w:bCs w:val="1"/>
        </w:rPr>
      </w:pPr>
    </w:p>
    <w:p>
      <w:pPr>
        <w:jc w:val="both"/>
        <w:rPr>
          <w:rFonts w:ascii="Courier New" w:hAnsi="Courier New"/>
          <w:b w:val="1"/>
          <w:bCs w:val="1"/>
        </w:rPr>
      </w:pPr>
    </w:p>
    <w:p>
      <w:pPr>
        <w:pStyle w:val="P6"/>
      </w:pPr>
      <w:r>
        <w:t xml:space="preserve">Visto: El Expediente N° 1264/02; y </w:t>
      </w:r>
    </w:p>
    <w:p>
      <w:pPr>
        <w:ind w:hanging="748" w:left="748"/>
        <w:jc w:val="both"/>
        <w:rPr>
          <w:rFonts w:ascii="Courier New" w:hAnsi="Courier New"/>
        </w:rPr>
      </w:pPr>
    </w:p>
    <w:p>
      <w:pPr>
        <w:ind w:hanging="748" w:left="748"/>
        <w:jc w:val="both"/>
        <w:rPr>
          <w:rFonts w:ascii="Courier New" w:hAnsi="Courier New"/>
        </w:rPr>
      </w:pPr>
    </w:p>
    <w:p>
      <w:pPr>
        <w:pStyle w:val="P1"/>
        <w:rPr>
          <w:rFonts w:ascii="Courier New" w:hAnsi="Courier New"/>
          <w:sz w:val="24"/>
          <w:szCs w:val="24"/>
        </w:rPr>
      </w:pPr>
      <w:r>
        <w:rPr>
          <w:rFonts w:ascii="Courier New" w:hAnsi="Courier New"/>
          <w:sz w:val="24"/>
          <w:szCs w:val="24"/>
        </w:rPr>
        <w:t>C O N S I D E R A N D O</w:t>
      </w:r>
    </w:p>
    <w:p/>
    <w:p>
      <w:pPr>
        <w:pStyle w:val="P7"/>
      </w:pPr>
    </w:p>
    <w:p>
      <w:pPr>
        <w:ind w:left="748"/>
        <w:jc w:val="both"/>
        <w:rPr>
          <w:rFonts w:ascii="Courier New" w:hAnsi="Courier New"/>
        </w:rPr>
      </w:pPr>
      <w:r>
        <w:rPr>
          <w:rFonts w:ascii="Courier New" w:hAnsi="Courier New"/>
        </w:rPr>
        <w:t xml:space="preserve">Que el mismo es iniciado por el Sr. Guillermo Sandro Palacios, DNI Nº 20.575.515 con domicilio en calle Liniers Nº 1056, Bº General Bustos de la ciudad de Alta Gracia, solicitando forma de pago acorde a sus posibilidades e ingresos correspondiente a la deuda de   Tasa por Servicios a la Propiedad  del inmueble designación catastral 04-01-020-012-000;</w:t>
      </w:r>
    </w:p>
    <w:p>
      <w:pPr>
        <w:ind w:left="748"/>
        <w:jc w:val="both"/>
        <w:rPr>
          <w:rFonts w:ascii="Courier New" w:hAnsi="Courier New"/>
        </w:rPr>
      </w:pPr>
    </w:p>
    <w:p>
      <w:pPr>
        <w:ind w:left="748"/>
        <w:jc w:val="both"/>
        <w:rPr>
          <w:rFonts w:ascii="Courier New" w:hAnsi="Courier New"/>
        </w:rPr>
      </w:pPr>
      <w:r>
        <w:rPr>
          <w:rFonts w:ascii="Courier New" w:hAnsi="Courier New"/>
        </w:rPr>
        <w:t>Que el relevamiento socioeconómico realizado, nos indica que se trata de una familia numerosa, compuesta por la esposa del Sr. Palacios, tres hijos menores y su señora madre, hija del titular del inmueble, don Honorio Urquiza(fallecido), el que fue recibido por transferencia de la municipalidad perteneciente a la Donación Solares;</w:t>
      </w:r>
    </w:p>
    <w:p>
      <w:pPr>
        <w:ind w:left="748"/>
        <w:jc w:val="both"/>
        <w:rPr>
          <w:rFonts w:ascii="Courier New" w:hAnsi="Courier New"/>
        </w:rPr>
      </w:pPr>
    </w:p>
    <w:p>
      <w:pPr>
        <w:ind w:left="748"/>
        <w:jc w:val="both"/>
        <w:rPr>
          <w:rFonts w:ascii="Courier New" w:hAnsi="Courier New"/>
        </w:rPr>
      </w:pPr>
      <w:r>
        <w:rPr>
          <w:rFonts w:ascii="Courier New" w:hAnsi="Courier New"/>
        </w:rPr>
        <w:t>Que reciben modulo alimentario, tratándose de un grupo familiar inserto en el sistema informal de trabajo, con ingresos mínimos e inestables proveniente de la realización de changas laborales como jardinero del peticionante;</w:t>
      </w:r>
    </w:p>
    <w:p>
      <w:pPr>
        <w:jc w:val="both"/>
        <w:rPr>
          <w:rFonts w:ascii="Courier New" w:hAnsi="Courier New"/>
        </w:rPr>
      </w:pPr>
    </w:p>
    <w:p>
      <w:pPr>
        <w:pStyle w:val="P7"/>
      </w:pPr>
      <w:r>
        <w:t xml:space="preserve">Que en particular y por lo expuesto, es sumamente  conveniente  arbitrar las medidas necesarias a los fines de que la familia  que nos ocupa, este segura de que ninguna deuda y menos por tasas a la propiedad ponga en riesgo su vivienda, como así también en zozobra su integridad ;</w:t>
      </w:r>
    </w:p>
    <w:p>
      <w:pPr>
        <w:pStyle w:val="P7"/>
      </w:pPr>
    </w:p>
    <w:p>
      <w:pPr>
        <w:pStyle w:val="P7"/>
      </w:pPr>
      <w:r>
        <w:t>Que evaluado el Expediente de referencia por la Comisión de Hacienda, se emite despacho favorable, aprobado por unanimidad en Sesión Ordinaria del 30 de Julio de 2008.</w:t>
      </w:r>
    </w:p>
    <w:p/>
    <w:p>
      <w:pPr>
        <w:pStyle w:val="P1"/>
        <w:rPr>
          <w:rFonts w:ascii="Courier New" w:hAnsi="Courier New"/>
          <w:sz w:val="24"/>
          <w:szCs w:val="24"/>
        </w:rPr>
      </w:pPr>
    </w:p>
    <w:p>
      <w:pPr>
        <w:pStyle w:val="P1"/>
        <w:rPr>
          <w:rFonts w:ascii="Courier New" w:hAnsi="Courier New"/>
          <w:sz w:val="24"/>
          <w:szCs w:val="24"/>
        </w:rPr>
      </w:pPr>
      <w:r>
        <w:rPr>
          <w:rFonts w:ascii="Courier New" w:hAnsi="Courier New"/>
          <w:sz w:val="24"/>
          <w:szCs w:val="24"/>
        </w:rPr>
        <w:t>EL HONORABLE CONCEJO DELIBERANTE DE LA CIUDAD DE</w:t>
      </w:r>
    </w:p>
    <w:p>
      <w:pPr>
        <w:pStyle w:val="P2"/>
        <w:rPr>
          <w:rFonts w:ascii="Courier New" w:hAnsi="Courier New"/>
        </w:rPr>
      </w:pPr>
      <w:r>
        <w:rPr>
          <w:rFonts w:ascii="Courier New" w:hAnsi="Courier New"/>
        </w:rPr>
        <w:t>ALTA GRACIA SANCIONA CON FUERZA DE ORDENANZA</w:t>
      </w:r>
    </w:p>
    <w:p>
      <w:pPr>
        <w:pStyle w:val="P2"/>
        <w:rPr>
          <w:rFonts w:ascii="Courier New" w:hAnsi="Courier New"/>
        </w:rPr>
      </w:pPr>
    </w:p>
    <w:p>
      <w:pPr>
        <w:rPr>
          <w:rFonts w:ascii="Courier New" w:hAnsi="Courier New"/>
        </w:rPr>
      </w:pPr>
      <w:r>
        <w:rPr>
          <w:rFonts w:ascii="Courier New" w:hAnsi="Courier New"/>
        </w:rPr>
        <w:t>...///</w:t>
      </w:r>
    </w:p>
    <w:p>
      <w:pPr>
        <w:jc w:val="right"/>
        <w:rPr>
          <w:rFonts w:ascii="Courier New" w:hAnsi="Courier New"/>
        </w:rPr>
      </w:pPr>
    </w:p>
    <w:p>
      <w:pPr>
        <w:rPr>
          <w:rFonts w:ascii="Courier New" w:hAnsi="Courier New"/>
        </w:rPr>
      </w:pPr>
    </w:p>
    <w:p>
      <w:pPr>
        <w:rPr>
          <w:rFonts w:ascii="Courier New" w:hAnsi="Courier New"/>
        </w:rPr>
      </w:pPr>
    </w:p>
    <w:p>
      <w:pPr>
        <w:rPr>
          <w:rFonts w:ascii="Courier New" w:hAnsi="Courier New"/>
        </w:rPr>
      </w:pPr>
    </w:p>
    <w:p>
      <w:pPr>
        <w:rPr>
          <w:rFonts w:ascii="Courier New" w:hAnsi="Courier New"/>
        </w:rPr>
      </w:pPr>
      <w:r>
        <w:rPr>
          <w:rFonts w:ascii="Courier New" w:hAnsi="Courier New"/>
        </w:rPr>
        <w:t>...///2.-</w:t>
      </w:r>
    </w:p>
    <w:p>
      <w:pPr>
        <w:rPr>
          <w:rFonts w:ascii="Courier New" w:hAnsi="Courier New"/>
        </w:rPr>
      </w:pPr>
    </w:p>
    <w:p>
      <w:pPr>
        <w:rPr>
          <w:rFonts w:ascii="Courier New" w:hAnsi="Courier New"/>
        </w:rPr>
      </w:pPr>
    </w:p>
    <w:p>
      <w:pPr>
        <w:ind w:hanging="748" w:left="748"/>
        <w:jc w:val="both"/>
        <w:rPr>
          <w:rFonts w:ascii="Courier New" w:hAnsi="Courier New"/>
          <w:b w:val="1"/>
          <w:bCs w:val="1"/>
          <w:u w:val="single"/>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EXÍMASE</w:t>
      </w:r>
      <w:r>
        <w:rPr>
          <w:rFonts w:ascii="Courier New" w:hAnsi="Courier New"/>
        </w:rPr>
        <w:t xml:space="preserve"> en un cincuenta por ciento (50%) la deuda que a la fecha de promulgación de la presente mantiene con la Municipalidad de Alta Gracia en concepto de Tasa por Servicios a la Propiedad, el inmueble designación catastral 04-01-020-012-000.</w:t>
      </w:r>
    </w:p>
    <w:p>
      <w:pPr>
        <w:ind w:hanging="748" w:left="748"/>
        <w:jc w:val="both"/>
        <w:rPr>
          <w:rFonts w:ascii="Courier New" w:hAnsi="Courier New"/>
        </w:rPr>
      </w:pPr>
    </w:p>
    <w:p>
      <w:pPr>
        <w:ind w:hanging="748" w:left="748"/>
        <w:jc w:val="both"/>
        <w:rPr>
          <w:rFonts w:ascii="Courier New" w:hAnsi="Courier New"/>
        </w:rPr>
      </w:pPr>
      <w:r>
        <w:rPr>
          <w:rFonts w:ascii="Courier New" w:hAnsi="Courier New"/>
          <w:b w:val="1"/>
          <w:bCs w:val="1"/>
          <w:u w:val="single"/>
        </w:rPr>
        <w:t>Art.2</w:t>
      </w:r>
      <w:r>
        <w:rPr>
          <w:rFonts w:ascii="Courier New" w:hAnsi="Courier New"/>
          <w:b w:val="1"/>
          <w:bCs w:val="1"/>
        </w:rPr>
        <w:t xml:space="preserve">: </w:t>
      </w:r>
      <w:r>
        <w:rPr>
          <w:rFonts w:ascii="Courier New" w:hAnsi="Courier New"/>
          <w:b w:val="1"/>
          <w:bCs w:val="1"/>
        </w:rPr>
        <w:t>EXÍMASE</w:t>
      </w:r>
      <w:r>
        <w:rPr>
          <w:rFonts w:ascii="Courier New" w:hAnsi="Courier New"/>
        </w:rPr>
        <w:t xml:space="preserve"> por cada cuota actual  abonada en  término, en concepto  de Tasa por Servicios a la Propiedad, al inmueble designación catastral 04-01-020-012-000,  cinco cuotas de la deuda remanente y exigible, luego de realizado lo establecido en el precepto anterior.</w:t>
      </w:r>
    </w:p>
    <w:p>
      <w:pPr>
        <w:jc w:val="both"/>
      </w:pPr>
    </w:p>
    <w:p>
      <w:pPr>
        <w:ind w:hanging="748" w:left="748"/>
        <w:jc w:val="both"/>
        <w:rPr>
          <w:rFonts w:ascii="Courier New" w:hAnsi="Courier New"/>
        </w:rPr>
      </w:pPr>
      <w:r>
        <w:rPr>
          <w:rFonts w:ascii="Courier New" w:hAnsi="Courier New"/>
          <w:b w:val="1"/>
          <w:bCs w:val="1"/>
          <w:u w:val="single"/>
        </w:rPr>
        <w:t>Art.3</w:t>
      </w:r>
      <w:r>
        <w:rPr>
          <w:rFonts w:ascii="Courier New" w:hAnsi="Courier New"/>
          <w:b w:val="1"/>
          <w:bCs w:val="1"/>
        </w:rPr>
        <w:t>:</w:t>
      </w:r>
      <w:r>
        <w:rPr>
          <w:rFonts w:ascii="Courier New" w:hAnsi="Courier New"/>
        </w:rPr>
        <w:t xml:space="preserve"> </w:t>
      </w:r>
      <w:r>
        <w:rPr>
          <w:rFonts w:ascii="Courier New" w:hAnsi="Courier New"/>
          <w:b w:val="1"/>
          <w:bCs w:val="1"/>
        </w:rPr>
        <w:t>ESTABLÉZCASE</w:t>
      </w:r>
      <w:r>
        <w:rPr>
          <w:rFonts w:ascii="Courier New" w:hAnsi="Courier New"/>
          <w:b w:val="1"/>
          <w:bCs w:val="1"/>
        </w:rPr>
        <w:t xml:space="preserve"> </w:t>
      </w:r>
      <w:r>
        <w:rPr>
          <w:rFonts w:ascii="Courier New" w:hAnsi="Courier New"/>
        </w:rPr>
        <w:t xml:space="preserve">que la falta de pago de tres cuotas consecutivas o alternadas,  así como la transferencia o cambio de titularidad del inmueble, hará caducar automáticamente el beneficio otorgado.</w:t>
      </w:r>
    </w:p>
    <w:p>
      <w:pPr>
        <w:pStyle w:val="P5"/>
        <w:rPr>
          <w:rFonts w:ascii="Courier New" w:hAnsi="Courier New"/>
          <w:b w:val="1"/>
          <w:bCs w:val="1"/>
        </w:rPr>
      </w:pPr>
    </w:p>
    <w:p>
      <w:pPr>
        <w:ind w:hanging="709" w:left="709"/>
        <w:jc w:val="both"/>
        <w:rPr>
          <w:rFonts w:ascii="Courier New" w:hAnsi="Courier New"/>
        </w:rPr>
      </w:pPr>
      <w:r>
        <w:rPr>
          <w:rFonts w:ascii="Courier New" w:hAnsi="Courier New"/>
          <w:b w:val="1"/>
          <w:bCs w:val="1"/>
          <w:u w:val="single"/>
        </w:rPr>
        <w:t>Art.4</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TREINTA                 DÍAS DEL MES DE JULIO DEL AÑO DOS MIL OCHO.-</w:t>
      </w:r>
    </w:p>
    <w:p>
      <w:pPr>
        <w:pStyle w:val="P5"/>
        <w:rPr>
          <w:rFonts w:ascii="Courier New" w:hAnsi="Courier New"/>
        </w:rPr>
      </w:pPr>
    </w:p>
    <w:p>
      <w:pPr>
        <w:pStyle w:val="P5"/>
        <w:rPr>
          <w:rFonts w:ascii="Courier New" w:hAnsi="Courier New"/>
        </w:rPr>
      </w:pP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b w:val="1"/>
      <w:bCs w:val="1"/>
      <w:sz w:val="28"/>
      <w:szCs w:val="28"/>
    </w:rPr>
  </w:style>
  <w:style w:type="paragraph" w:styleId="P2">
    <w:name w:val="Heading 2"/>
    <w:basedOn w:val="P0"/>
    <w:next w:val="P0"/>
    <w:pPr>
      <w:keepNext w:val="1"/>
      <w:jc w:val="center"/>
      <w:outlineLvl w:val="1"/>
    </w:pPr>
    <w:rPr>
      <w:b w:val="1"/>
      <w:bCs w:val="1"/>
    </w:rPr>
  </w:style>
  <w:style w:type="paragraph" w:styleId="P3">
    <w:name w:val="Title"/>
    <w:basedOn w:val="P0"/>
    <w:next w:val="P3"/>
    <w:pPr>
      <w:jc w:val="center"/>
    </w:pPr>
    <w:rPr>
      <w:b w:val="1"/>
      <w:bCs w:val="1"/>
      <w:sz w:val="28"/>
      <w:szCs w:val="28"/>
      <w:u w:val="single"/>
    </w:rPr>
  </w:style>
  <w:style w:type="paragraph" w:styleId="P4">
    <w:name w:val="Body Text"/>
    <w:basedOn w:val="P0"/>
    <w:next w:val="P4"/>
    <w:pPr>
      <w:jc w:val="both"/>
    </w:pPr>
    <w:rPr>
      <w:sz w:val="28"/>
      <w:szCs w:val="28"/>
    </w:rPr>
  </w:style>
  <w:style w:type="paragraph" w:styleId="P5">
    <w:name w:val="Body Text 2"/>
    <w:basedOn w:val="P0"/>
    <w:next w:val="P5"/>
    <w:pPr>
      <w:jc w:val="both"/>
    </w:pPr>
    <w:rPr>
      <w:b w:val="1"/>
      <w:bCs w:val="1"/>
    </w:rPr>
  </w:style>
  <w:style w:type="paragraph" w:styleId="P6">
    <w:name w:val="Body Text Indent"/>
    <w:basedOn w:val="P0"/>
    <w:next w:val="P6"/>
    <w:pPr>
      <w:ind w:hanging="748" w:left="748"/>
      <w:jc w:val="both"/>
    </w:pPr>
    <w:rPr>
      <w:rFonts w:ascii="Courier New" w:hAnsi="Courier New"/>
    </w:rPr>
  </w:style>
  <w:style w:type="paragraph" w:styleId="P7">
    <w:name w:val="Body Text Indent 2"/>
    <w:basedOn w:val="P0"/>
    <w:next w:val="P7"/>
    <w:pPr>
      <w:ind w:left="748"/>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2026-07-09T18:35:40Z</dcterms:created>
  <cp:lastModifiedBy>Federico Parisi</cp:lastModifiedBy>
  <cp:lastPrinted>2008-08-02T07:59:00Z</cp:lastPrinted>
  <dcterms:modified xsi:type="dcterms:W3CDTF">2026-07-09T18:35:40Z</dcterms:modified>
  <cp:revision>2</cp:revision>
  <dc:title>PROYECTO DE ORDENANZA</dc:title>
</cp:coreProperties>
</file>