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8133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1636/06;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mediante nota obrante a Fs. 11, la Sra. María Raquel Díaz, D.N.I Nº 6.199.009, con domicilio en calle Bolivia Nº 1543, de nuestra ciudad, solicita eximición de Tasa por Servicios a la Propiedad correspondiente al inmueble Designación Catastral 03-01-116-014;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efectuado por la Dirección de Desarrollo Humano y Trabajo, noticia que la peticionante posee ingresos limitados, provenientes del plan jefes de hogar;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se encuentra separada de su esposo no recibiendo ayuda alguna de su parte;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la vivienda es precaria, con baño en el exterior, sin red de agua interna, sólo con pico externo, contando con tarifa social del ERSEP para energía eléctrica;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también ha gestionado ayuda de materiales para construcción de una habitación mas para su hijo, el que vive al fondo de la casa;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15 obra el correspondiente informe de deuda emitido por la Dirección de Ingresos Públicos;</w:t>
      </w:r>
    </w:p>
    <w:p>
      <w:pPr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/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/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una cuota mensual en concepto de Tasa por Servicios a la Propiedad de PESOS SIETE ($7.00) a partir de la Promulgación de la presente, al inmueble Designación Catastral 03-01-116-014 y por el término de un año, momento en el que se deberá realizar nuevo estudio Socioeconómico y en caso de mantenerse la situación, renovar el beneficio por un año mas.-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EXÍ</w:t>
      </w:r>
      <w:r>
        <w:rPr>
          <w:rFonts w:ascii="Courier New" w:hAnsi="Courier New"/>
          <w:b w:val="1"/>
          <w:bCs w:val="1"/>
        </w:rPr>
        <w:t>MASE</w:t>
      </w:r>
      <w:r>
        <w:rPr>
          <w:rFonts w:ascii="Courier New" w:hAnsi="Courier New"/>
        </w:rPr>
        <w:t xml:space="preserve"> por cada cuota abonada en término según lo establecido en el art. 1º de la presente, cinco (5) cuotas de la deuda exigible.-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ESTABLÉZCASE </w:t>
      </w:r>
      <w:r>
        <w:rPr>
          <w:rFonts w:ascii="Courier New" w:hAnsi="Courier New"/>
        </w:rPr>
        <w:t>que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la falta de pago de tres (3) cuotas consecutivas o alternadas, de la cuota fijada en el Art. 1º así como la transferencia o cambio de titularidad del inmueble, hará caducar automáticamente el beneficio otorgado.-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2026-07-09T18:34:55Z</dcterms:created>
  <cp:lastModifiedBy>Federico Parisi</cp:lastModifiedBy>
  <cp:lastPrinted>2008-08-05T01:09:00Z</cp:lastPrinted>
  <dcterms:modified xsi:type="dcterms:W3CDTF">2026-07-09T18:34:55Z</dcterms:modified>
  <cp:revision>2</cp:revision>
  <dc:title>Visto</dc:title>
</cp:coreProperties>
</file>