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>ORDENANZA N° 813</w:t>
      </w:r>
      <w:r>
        <w:rPr>
          <w:rFonts w:ascii="Courier New" w:hAnsi="Courier New"/>
          <w:b w:val="1"/>
          <w:bCs w:val="1"/>
          <w:u w:val="single"/>
        </w:rPr>
        <w:t>7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731/I/2006; y 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1"/>
      </w:pPr>
      <w:r>
        <w:t>C O N S I D E R A N D O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el mismo es iniciado por la Secretaría de Obras y Servicios Públicos con las encuestas realizadas para la concreción de la obra de pavimentación de calle Saavedra entre Núñez e Ituzaingó  y entre  Tucumán y Salta; 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4"/>
      </w:pPr>
      <w:r>
        <w:t xml:space="preserve">Que del total de frentistas afectados, en particular  algunos  de ellos están de acuerdo con su realización pero manifiestan la imposibilidad de pago según  los planes ofrecidos por la municipalidad;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través del área técnica competente se han  realizado (fs.10/16) los respectivos relevamientos socioeconómicos y ambientales;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Sección Catastro informa a fs 37 vta., que todos  revisten el carácter de propietarios y dichas  viviendas son en cada caso, única propiedad del grupo familiar;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la Dirección de Ingresos Públicos agrega a fs. 18/36 estado de cuenta de los peticionantes;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la realización  de la obra  conlleva progreso y  una mejor calidad de vida para los vecinos, motivo por el cual el Estado Municipal debe atender lo requerido ofreciendo para ello planes especiales de pago;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3"/>
        <w:ind w:left="709"/>
      </w:pPr>
      <w:r>
        <w:t xml:space="preserve">Que evaluado el Expediente de referencia por la Comisión de Hacienda, se emite despacho favorable, aprobado por unanimidad en Sesión Ordinaria del 06 de </w:t>
      </w:r>
    </w:p>
    <w:p>
      <w:pPr>
        <w:pStyle w:val="P3"/>
        <w:ind w:left="709"/>
      </w:pPr>
      <w:r>
        <w:t>Agosto de 2008.</w:t>
      </w:r>
    </w:p>
    <w:p>
      <w:pPr>
        <w:pStyle w:val="P3"/>
        <w:ind w:left="709"/>
      </w:pPr>
    </w:p>
    <w:p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pStyle w:val="P3"/>
        <w:ind w:left="709"/>
      </w:pPr>
    </w:p>
    <w:p>
      <w:pPr>
        <w:pStyle w:val="P3"/>
        <w:ind w:left="709"/>
      </w:pPr>
    </w:p>
    <w:p>
      <w:pPr>
        <w:pStyle w:val="P1"/>
      </w:pPr>
    </w:p>
    <w:p>
      <w:pPr>
        <w:pStyle w:val="P1"/>
      </w:pPr>
    </w:p>
    <w:p>
      <w:pPr>
        <w:pStyle w:val="P1"/>
      </w:pPr>
    </w:p>
    <w:p>
      <w:pPr>
        <w:pStyle w:val="P1"/>
        <w:jc w:val="left"/>
        <w:rPr>
          <w:b w:val="1"/>
          <w:bCs w:val="1"/>
        </w:rPr>
      </w:pPr>
      <w:r>
        <w:rPr>
          <w:b w:val="0"/>
          <w:bCs w:val="0"/>
        </w:rPr>
        <w:t>...///2.-</w:t>
      </w:r>
    </w:p>
    <w:p>
      <w:pPr>
        <w:pStyle w:val="P1"/>
      </w:pPr>
    </w:p>
    <w:p>
      <w:pPr>
        <w:pStyle w:val="P1"/>
      </w:pPr>
    </w:p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jc w:val="right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CONC</w:t>
      </w:r>
      <w:r>
        <w:rPr>
          <w:rFonts w:ascii="Courier New" w:hAnsi="Courier New"/>
          <w:b w:val="1"/>
          <w:bCs w:val="1"/>
        </w:rPr>
        <w:t>ÉDASE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</w:rPr>
        <w:t xml:space="preserve">planes de pago para la obra de pavimentación de calle Saavedra entre Núñez e Ituzaingó y entre Tucumán y Salta acorde a sus posibilidades,  a los titulares de los inmuebles que a continuación se detallan:</w:t>
      </w:r>
    </w:p>
    <w:p>
      <w:pPr>
        <w:ind w:hanging="720" w:left="720"/>
        <w:jc w:val="both"/>
        <w:rPr>
          <w:rFonts w:ascii="Courier New" w:hAnsi="Courier New"/>
        </w:rPr>
      </w:pPr>
    </w:p>
    <w:tbl>
      <w:tblPr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06"/>
        <w:gridCol w:w="4607"/>
      </w:tblGrid>
      <w:tr>
        <w:tc>
          <w:tcPr>
            <w:tcW w:w="4606" w:type="dxa"/>
          </w:tcPr>
          <w:p>
            <w:pPr>
              <w:jc w:val="both"/>
              <w:rPr>
                <w:rFonts w:ascii="Courier New" w:hAnsi="Courier New"/>
              </w:rPr>
            </w:pPr>
          </w:p>
          <w:p>
            <w:pPr>
              <w:jc w:val="both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 xml:space="preserve">Designación Catastral   </w:t>
            </w:r>
          </w:p>
          <w:p>
            <w:pPr>
              <w:rPr>
                <w:rFonts w:ascii="Courier New" w:hAnsi="Courier New"/>
              </w:rPr>
            </w:pPr>
          </w:p>
        </w:tc>
        <w:tc>
          <w:tcPr>
            <w:tcW w:w="4607" w:type="dxa"/>
          </w:tcPr>
          <w:p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Domicilio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4606" w:type="dxa"/>
          </w:tcPr>
          <w:p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03-01-284-006</w:t>
            </w:r>
          </w:p>
        </w:tc>
        <w:tc>
          <w:tcPr>
            <w:tcW w:w="4607" w:type="dxa"/>
          </w:tcPr>
          <w:p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Saavedra Nº 1088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4606" w:type="dxa"/>
          </w:tcPr>
          <w:p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03-01-279-001</w:t>
            </w:r>
          </w:p>
        </w:tc>
        <w:tc>
          <w:tcPr>
            <w:tcW w:w="4607" w:type="dxa"/>
          </w:tcPr>
          <w:p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Saavedra Nº 809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4606" w:type="dxa"/>
          </w:tcPr>
          <w:p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03-01-279-009</w:t>
            </w:r>
          </w:p>
        </w:tc>
        <w:tc>
          <w:tcPr>
            <w:tcW w:w="4607" w:type="dxa"/>
          </w:tcPr>
          <w:p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Salta Nº 890</w:t>
            </w:r>
          </w:p>
        </w:tc>
      </w:tr>
      <w:tr>
        <w:tblPrEx>
          <w:tblBorders>
            <w:top w:val="single" w:sz="4" w:space="0" w:shadow="0" w:frame="0" w:color="auto"/>
            <w:left w:val="single" w:sz="4" w:space="0" w:shadow="0" w:frame="0" w:color="auto"/>
            <w:bottom w:val="single" w:sz="4" w:space="0" w:shadow="0" w:frame="0" w:color="auto"/>
            <w:right w:val="single" w:sz="4" w:space="0" w:shadow="0" w:frame="0" w:color="auto"/>
            <w:insideH w:val="single" w:sz="4" w:space="0" w:shadow="0" w:frame="0" w:color="auto"/>
            <w:insideV w:val="single" w:sz="4" w:space="0" w:shadow="0" w:frame="0" w:color="auto"/>
          </w:tblBorders>
          <w:tblLayout w:type="fixed"/>
        </w:tblPrEx>
        <w:tc>
          <w:tcPr>
            <w:tcW w:w="4606" w:type="dxa"/>
          </w:tcPr>
          <w:p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03-01-282-007</w:t>
            </w:r>
          </w:p>
        </w:tc>
        <w:tc>
          <w:tcPr>
            <w:tcW w:w="4607" w:type="dxa"/>
          </w:tcPr>
          <w:p>
            <w:pPr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Saavedra Nº 864</w:t>
            </w:r>
          </w:p>
        </w:tc>
      </w:tr>
    </w:tbl>
    <w:p>
      <w:pPr>
        <w:ind w:hanging="600" w:left="600"/>
        <w:jc w:val="both"/>
        <w:rPr>
          <w:rFonts w:ascii="Courier New" w:hAnsi="Courier New"/>
          <w:b w:val="1"/>
          <w:bCs w:val="1"/>
        </w:rPr>
      </w:pP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5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SEIS                 DÍAS DEL MES DE AGOSTO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p>
      <w:pPr>
        <w:ind w:hanging="720" w:left="720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Body Text Indent 2"/>
    <w:basedOn w:val="P0"/>
    <w:next w:val="P3"/>
    <w:pPr>
      <w:ind w:left="748"/>
      <w:jc w:val="both"/>
    </w:pPr>
    <w:rPr>
      <w:rFonts w:ascii="Courier New" w:hAnsi="Courier New"/>
    </w:rPr>
  </w:style>
  <w:style w:type="paragraph" w:styleId="P4">
    <w:name w:val="Body Text Indent"/>
    <w:basedOn w:val="P0"/>
    <w:next w:val="P4"/>
    <w:pPr>
      <w:ind w:left="720"/>
      <w:jc w:val="both"/>
    </w:pPr>
    <w:rPr>
      <w:rFonts w:ascii="Courier New" w:hAnsi="Courier New"/>
    </w:rPr>
  </w:style>
  <w:style w:type="paragraph" w:styleId="P5">
    <w:name w:val="Body Text 2"/>
    <w:basedOn w:val="P0"/>
    <w:next w:val="P5"/>
    <w:pPr>
      <w:jc w:val="both"/>
    </w:pPr>
    <w:rPr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2026-07-09T18:34:21Z</dcterms:created>
  <cp:lastModifiedBy>Federico Parisi</cp:lastModifiedBy>
  <cp:lastPrinted>2008-08-05T01:09:00Z</cp:lastPrinted>
  <dcterms:modified xsi:type="dcterms:W3CDTF">2026-07-09T18:34:21Z</dcterms:modified>
  <cp:revision>2</cp:revision>
  <dc:title>Visto</dc:title>
</cp:coreProperties>
</file>