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814</w:t>
      </w:r>
      <w:r>
        <w:rPr>
          <w:rFonts w:ascii="Courier New" w:hAnsi="Courier New"/>
          <w:b w:val="1"/>
          <w:bCs w:val="1"/>
          <w:u w:val="single"/>
        </w:rPr>
        <w:t>2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260/03;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través del mismo y mediante nota, la Sra. Liliana Graciela Navarro, D.N.I Nº 13.178.729, con domicilio en calle A. Castellanos Nº 931, de nuestra ciudad, solicita eximición de Tasa por Servicios a la Propiedad correspondiente al inmueble Designación Catastral 03-01-442-018;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relevamiento Socioeconómico y Ambiental efectuado por la Dirección de Desarrollo Humano y Trabajo,  noticia que la  peticionante posee ingresos limitados, provenientes de su trabajo informal como vendedora de rifas y de su esposo, quien trabajaba en la ex empresa de transporte SATAG, realizando changas de pintura;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ambos conyugues posen problemas de salud asistiendo al Hospital A. Illia para recibir atención médica;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29 obra el correspondiente informe de deuda emitido por la Dirección de Ingresos Públicos, parte de la cual se encuentra en gestión judicial 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Sección Catastro informa que la vivienda es única propiedad, la que  se encuentra a nombre de la peticionante y de su esposo Sr. Daniel Becerra;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06 de </w:t>
      </w:r>
    </w:p>
    <w:p>
      <w:pPr>
        <w:pStyle w:val="P3"/>
        <w:ind w:left="709"/>
      </w:pPr>
      <w:r>
        <w:t>Agosto de 2008.</w:t>
      </w:r>
    </w:p>
    <w:p>
      <w:pPr>
        <w:pStyle w:val="P3"/>
        <w:ind w:left="709"/>
        <w:jc w:val="right"/>
      </w:pPr>
      <w:r>
        <w:t>...///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jc w:val="left"/>
        <w:rPr>
          <w:b w:val="1"/>
          <w:bCs w:val="1"/>
        </w:rPr>
      </w:pPr>
      <w:r>
        <w:rPr>
          <w:b w:val="0"/>
          <w:bCs w:val="0"/>
        </w:rPr>
        <w:t>...///2.-</w:t>
      </w: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FÍJASE </w:t>
      </w:r>
      <w:r>
        <w:rPr>
          <w:rFonts w:ascii="Courier New" w:hAnsi="Courier New"/>
        </w:rPr>
        <w:t xml:space="preserve">una cuota mensual en concepto de Tasa por Servicios a la Propiedad de PESOS DIEZ ($10.00) a partir de la Promulgación de la presente, al inmueble designación catastral 03-01-442-018  y por el término de un año, momento en el que se deberá realizar nuevo relevamiento socioeconómico y en caso de mantenerse la situación, renovar el beneficio por un año mas.-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EXÍMASE </w:t>
      </w:r>
      <w:r>
        <w:rPr>
          <w:rFonts w:ascii="Courier New" w:hAnsi="Courier New"/>
        </w:rPr>
        <w:t xml:space="preserve">por cada cuota abonada en  término según lo establecido en el art. 1º de la presente, cinco (5) cuotas de la deuda exigible.-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 xml:space="preserve">: ESTABLÉZCASE </w:t>
      </w:r>
      <w:r>
        <w:rPr>
          <w:rFonts w:ascii="Courier New" w:hAnsi="Courier New"/>
        </w:rPr>
        <w:t>que la falta de pago de tres (3) cuotas consecutivas o alternadas, de la cuota fijada en el Art. 1º así como la transferencia o cambio de titularidad del inmueble, hará caducar automáticamente el beneficio otorgado.-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Art.4</w:t>
      </w:r>
      <w:r>
        <w:rPr>
          <w:rFonts w:ascii="Courier New" w:hAnsi="Courier New"/>
          <w:b w:val="1"/>
          <w:bCs w:val="1"/>
        </w:rPr>
        <w:t>: SOLICÍTASE</w:t>
      </w:r>
      <w:r>
        <w:rPr>
          <w:rFonts w:ascii="Courier New" w:hAnsi="Courier New"/>
        </w:rPr>
        <w:t xml:space="preserve"> al Sr. Intendente, interceda ante el o los procuradores actuantes a fin de dejar sin efecto el o los juicios iniciados y honorarios generados,  exceptuando gastos y derechos de ley a tales fines.-</w:t>
      </w:r>
    </w:p>
    <w:p>
      <w:pPr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Art.6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SEIS 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2026-07-09T18:33:37Z</dcterms:created>
  <cp:lastModifiedBy>Federico Parisi</cp:lastModifiedBy>
  <cp:lastPrinted>2008-08-12T03:36:00Z</cp:lastPrinted>
  <dcterms:modified xsi:type="dcterms:W3CDTF">2026-07-09T18:33:37Z</dcterms:modified>
  <cp:revision>2</cp:revision>
  <dc:title>Visto</dc:title>
</cp:coreProperties>
</file>