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8149</w:t>
      </w: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Nº43/I/08;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través del mismo y mediante nota, el  Sr. Sergio Miguel Strañak, solicita  eximición  de plan de pagos de Tasas por Servicios a la Propiedad del inmueble Designación Catastral 01-01-150-004;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 xml:space="preserve">Que el relevamiento Socioeconómico realizado, nos indica que se trata de una  familia, donde el grupo conviviente percibe sus ingresos a través de transferencias formales del sistema, tratando de paliar la adversa situación de salud por la que atraviesa uno de sus integrantes (fs. 4 vta.);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inmueble se encuentra a nombre de la Sra. madre del peticionante la que padece una discapacidad motriz, bajo tratamiento médico con importante erogación en medicamentos para su tratamiento y evolución;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en el certificado de deuda emitido por la Dirección de Ingresos Públicos noticia monto de la deuda y parte de la cual se encuentra acogida a un plan de financiación;  </w:t>
      </w:r>
    </w:p>
    <w:p>
      <w:pPr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>Que evaluado el Expediente de referencia por la Comisión de Hacienda, se emite despacho favorable, aprobado por unanimidad en Sesión Ordinaria del 13 de Agosto de 2008.</w:t>
      </w:r>
    </w:p>
    <w:p/>
    <w:p/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/>
    <w:p/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AUTOR</w:t>
      </w:r>
      <w:r>
        <w:rPr>
          <w:rFonts w:ascii="Courier New" w:hAnsi="Courier New"/>
          <w:b w:val="1"/>
          <w:bCs w:val="1"/>
        </w:rPr>
        <w:t>ÍZASE</w:t>
      </w:r>
      <w:r>
        <w:rPr>
          <w:rFonts w:ascii="Courier New" w:hAnsi="Courier New"/>
        </w:rPr>
        <w:t xml:space="preserve"> al Departamento Ejecutivo a cancelar plan de financiación Nº 00745912, concedido al inmueble Designación Catastral 01-01-150-004.-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EX</w:t>
      </w:r>
      <w:r>
        <w:rPr>
          <w:rFonts w:ascii="Courier New" w:hAnsi="Courier New"/>
          <w:b w:val="1"/>
          <w:bCs w:val="1"/>
        </w:rPr>
        <w:t xml:space="preserve">ÍMASE </w:t>
      </w:r>
      <w:r>
        <w:rPr>
          <w:rFonts w:ascii="Courier New" w:hAnsi="Courier New"/>
        </w:rPr>
        <w:t xml:space="preserve">por cada cuota actual  abonada en  término, en concepto  de Tasa por Servicios a la Propiedad, al inmueble Designación Catastral 01-01-150-004, cinco (5) cuotas de la deuda remanente y exigible, luego de realizado lo establecido en el precepto anterior.-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ESTABL</w:t>
      </w:r>
      <w:r>
        <w:rPr>
          <w:rFonts w:ascii="Courier New" w:hAnsi="Courier New"/>
          <w:b w:val="1"/>
          <w:bCs w:val="1"/>
        </w:rPr>
        <w:t xml:space="preserve">ÉZCASE </w:t>
      </w:r>
      <w:r>
        <w:rPr>
          <w:rFonts w:ascii="Courier New" w:hAnsi="Courier New"/>
        </w:rPr>
        <w:t>que la falta de pago de dos (2) cuotas consecutivas o tres (3) alternadas, así como la transferencia o cambio de titularidad del inmueble, hará caducar automáticamente el beneficio otorgado.-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TRECE               DÍAS DEL MES DE AGOSTO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2026-07-09T18:32:36Z</dcterms:created>
  <cp:lastModifiedBy>Federico Parisi</cp:lastModifiedBy>
  <cp:lastPrinted>2008-08-15T07:34:00Z</cp:lastPrinted>
  <dcterms:modified xsi:type="dcterms:W3CDTF">2026-07-09T18:32:36Z</dcterms:modified>
  <cp:revision>2</cp:revision>
  <dc:title>Visto</dc:title>
</cp:coreProperties>
</file>