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 xml:space="preserve">ORDENANZA N° </w:t>
      </w:r>
      <w:r>
        <w:t>8150</w:t>
      </w:r>
    </w:p>
    <w:p>
      <w:pPr>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r>
        <w:rPr>
          <w:rFonts w:ascii="Courier New" w:hAnsi="Courier New"/>
        </w:rPr>
        <w:t xml:space="preserve">Visto: El Expediente Nº528/08; y </w:t>
      </w:r>
    </w:p>
    <w:p>
      <w:pPr>
        <w:jc w:val="both"/>
        <w:rPr>
          <w:rFonts w:ascii="Courier New" w:hAnsi="Courier New"/>
        </w:rPr>
      </w:pP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jc w:val="both"/>
        <w:rPr>
          <w:rFonts w:ascii="Courier New" w:hAnsi="Courier New"/>
        </w:rPr>
      </w:pPr>
    </w:p>
    <w:p>
      <w:pPr>
        <w:ind w:left="720"/>
        <w:jc w:val="both"/>
        <w:rPr>
          <w:rFonts w:ascii="Courier New" w:hAnsi="Courier New"/>
        </w:rPr>
      </w:pPr>
    </w:p>
    <w:p>
      <w:pPr>
        <w:pStyle w:val="P8"/>
        <w:ind w:left="720"/>
      </w:pPr>
      <w:r>
        <w:t xml:space="preserve">Que en el mismo se solicita la autorización para construir un emprendimiento de Actividades Deportivas, Recreativas, Salud y Estética en los inmuebles Designación Catastral 1-1-164-16/20 y 21 ubicado en calle Ecuador  Nº 55 de Barrio Norte de nuestra Ciudad; </w:t>
      </w:r>
    </w:p>
    <w:p>
      <w:pPr>
        <w:pStyle w:val="P8"/>
        <w:ind w:left="720"/>
      </w:pPr>
    </w:p>
    <w:p>
      <w:pPr>
        <w:pStyle w:val="P8"/>
        <w:ind w:left="720"/>
      </w:pPr>
      <w:r>
        <w:t xml:space="preserve">Que el proyecto que consta a fs. 3, es observado por Área Obras Privadas en una serie de puntos (fs. 3 vta.), dentro de los cuales existen tres observaciones que se refieren al no cumplimiento de la normativa vigente (Ordenanza 1294, Código de Edificación y Urbanización de la Ciudad): Estacionamiento (Art. 230, inc. f), Retiro de fondo-Corazón de manzana (Art. 239) y Factor de Ocupación del Suelo (FOS- Art. 239), motivos por los cuales llega el presente a esta Comisión de Obras y Servicios Públicos; </w:t>
      </w:r>
    </w:p>
    <w:p>
      <w:pPr>
        <w:pStyle w:val="P8"/>
        <w:ind w:left="720"/>
      </w:pPr>
    </w:p>
    <w:p>
      <w:pPr>
        <w:pStyle w:val="P8"/>
        <w:ind w:left="720"/>
      </w:pPr>
      <w:r>
        <w:t xml:space="preserve">Que a fs. 10, los solicitantes presentan nota requiriendo el tratamiento por excepción de los puntos mencionados; Que analizado el presente, se desprende: 1)Que en el proyecto presentado no existe la situación de espectadores en el predio, por lo que de acuerdo al Art. 230 que prevé las excepciones, no se hace necesario su tratamiento por este Cuerpo, 2) Con respecto al retiro de fondo, se observa que el resto de las propiedades colindantes no han cumplido con tal cometido, por lo que la ocupación que se pretende en este proyecto no afectaría al entorno, ya que el mismo se encuentra con edificaciones y 3) El Factor de Ocupación (FOS) proyectado supera sólo en un 3,33 % al normado para la zona, hecho que prácticamente no afectaría el espíritu de la normativa en vigencia; </w:t>
      </w:r>
    </w:p>
    <w:p>
      <w:pPr>
        <w:pStyle w:val="P8"/>
        <w:ind w:left="720"/>
      </w:pPr>
    </w:p>
    <w:p>
      <w:pPr>
        <w:pStyle w:val="P8"/>
        <w:ind w:left="720"/>
        <w:jc w:val="right"/>
      </w:pPr>
      <w:r>
        <w:t>...///</w:t>
      </w:r>
    </w:p>
    <w:p>
      <w:pPr>
        <w:pStyle w:val="P8"/>
        <w:ind w:left="720"/>
      </w:pPr>
    </w:p>
    <w:p>
      <w:pPr>
        <w:pStyle w:val="P8"/>
        <w:ind w:left="720"/>
      </w:pPr>
    </w:p>
    <w:p>
      <w:pPr>
        <w:pStyle w:val="P8"/>
        <w:ind w:left="720"/>
      </w:pPr>
    </w:p>
    <w:p>
      <w:pPr>
        <w:pStyle w:val="P8"/>
        <w:ind w:left="720"/>
      </w:pPr>
    </w:p>
    <w:p>
      <w:pPr>
        <w:pStyle w:val="P8"/>
        <w:ind w:left="720"/>
      </w:pPr>
    </w:p>
    <w:p>
      <w:pPr>
        <w:pStyle w:val="P8"/>
        <w:ind w:left="720"/>
      </w:pPr>
    </w:p>
    <w:p>
      <w:pPr>
        <w:pStyle w:val="P8"/>
        <w:ind w:left="720"/>
      </w:pPr>
    </w:p>
    <w:p>
      <w:pPr>
        <w:pStyle w:val="P8"/>
      </w:pPr>
      <w:r>
        <w:t>...///2.-</w:t>
      </w:r>
    </w:p>
    <w:p>
      <w:pPr>
        <w:pStyle w:val="P8"/>
        <w:ind w:left="720"/>
      </w:pPr>
    </w:p>
    <w:p>
      <w:pPr>
        <w:pStyle w:val="P8"/>
        <w:ind w:left="720"/>
      </w:pPr>
      <w:r>
        <w:t xml:space="preserve">Que a fs. 16 Oficialía Mayor realiza un análisis técnico-legal respecto de a quien se debe autorizar:  Que la sociedad Tuscal S.R.L., se encuentra en formación, y es quien solicita la intervención de este Cuerpo Legislativo, por lo que jurídicamente no existe. Que los Sres. Fernando Muñoz y Virginia Corrizo, son los titulares del inmueble en el que se pretende la excepción y a la vez integran la Sociedad en formación, aportando dicho inmueble como capital a la misma, cuya transferencia, de acuerdo a constancias a fs. 18 y 21 del Escribano Gustavo Miranda Matrícula N° 78, se encuentra en trámite. Después de todo lo expuesto la misma Oficialía aconseja las siguientes opciones: 1) Autorizar a los titulares de los inmuebles, 2) Autorizar a la Sociedad Tuscal S.R.L., con plazo de caducidad de dicha autorización ó 3) Esperar la conformación definitiva de dicha sociedad;   </w:t>
      </w:r>
    </w:p>
    <w:p>
      <w:pPr>
        <w:pStyle w:val="P8"/>
        <w:ind w:left="720"/>
      </w:pPr>
    </w:p>
    <w:p>
      <w:pPr>
        <w:pStyle w:val="P8"/>
        <w:ind w:left="720"/>
      </w:pPr>
      <w:r>
        <w:t xml:space="preserve">Que a fs. 17, Asesoría Letrada recomienda no avanzar en el presente pedido hasta tanto se subsanen las observaciones formuladas por el Área Obras Privadas a fs. 3 vta., en los puntos 1,2,3,4,5,7,10 y 11, e insistir en la presentación de la aprobación definitiva de la S.R.L. en cuestión, en atención a que la integración del capital puede ser observada, ya que el total del capital integrado  consta  de los  inmuebles que figuran a nombre de un solo socio (fs. 20 vta.); </w:t>
      </w:r>
    </w:p>
    <w:p>
      <w:pPr>
        <w:pStyle w:val="P8"/>
        <w:ind w:left="720"/>
      </w:pPr>
    </w:p>
    <w:p>
      <w:pPr>
        <w:pStyle w:val="P4"/>
        <w:ind w:left="709"/>
      </w:pPr>
      <w:r>
        <w:t>Que a fs. 19, el Sr. Intendente Municipal en su carácter de Jefe del Departamento Ejecutivo, manifiesta que debe ser analizada y/o aprobada la Excepción antes de exigir y cumplimentar lo observado por Área Obras Privadas y Asesoría Letrada, de lo contrario carece de relevancia, y que se debería sancionar una Ordenanza autorizando a la Sociedad en formación, con plazo de caducidad, sugiriendo un plazo de 6 meses;</w:t>
      </w:r>
    </w:p>
    <w:p>
      <w:pPr>
        <w:pStyle w:val="P4"/>
        <w:ind w:left="709"/>
      </w:pPr>
    </w:p>
    <w:p>
      <w:pPr>
        <w:pStyle w:val="P4"/>
        <w:ind w:left="709"/>
        <w:jc w:val="right"/>
      </w:pPr>
      <w:r>
        <w:t>...///</w:t>
      </w:r>
    </w:p>
    <w:p>
      <w:pPr>
        <w:pStyle w:val="P4"/>
        <w:ind w:left="709"/>
      </w:pPr>
    </w:p>
    <w:p>
      <w:pPr>
        <w:pStyle w:val="P4"/>
        <w:ind w:left="709"/>
      </w:pPr>
    </w:p>
    <w:p>
      <w:pPr>
        <w:pStyle w:val="P4"/>
        <w:ind w:left="709"/>
      </w:pPr>
    </w:p>
    <w:p>
      <w:pPr>
        <w:pStyle w:val="P4"/>
        <w:ind w:left="709"/>
      </w:pPr>
    </w:p>
    <w:p>
      <w:pPr>
        <w:pStyle w:val="P4"/>
        <w:ind w:left="709"/>
      </w:pPr>
    </w:p>
    <w:p>
      <w:pPr>
        <w:pStyle w:val="P4"/>
        <w:ind w:left="709"/>
      </w:pPr>
    </w:p>
    <w:p>
      <w:pPr>
        <w:pStyle w:val="P4"/>
        <w:ind w:left="709"/>
      </w:pPr>
    </w:p>
    <w:p>
      <w:pPr>
        <w:pStyle w:val="P4"/>
        <w:ind w:left="709"/>
      </w:pPr>
    </w:p>
    <w:p>
      <w:pPr>
        <w:pStyle w:val="P4"/>
        <w:ind w:left="0"/>
      </w:pPr>
    </w:p>
    <w:p>
      <w:pPr>
        <w:pStyle w:val="P4"/>
        <w:ind w:left="0"/>
      </w:pPr>
      <w:r>
        <w:t>...///3.-</w:t>
      </w:r>
    </w:p>
    <w:p>
      <w:pPr>
        <w:pStyle w:val="P4"/>
        <w:ind w:left="709"/>
      </w:pPr>
    </w:p>
    <w:p>
      <w:pPr>
        <w:pStyle w:val="P4"/>
        <w:ind w:left="709"/>
      </w:pPr>
    </w:p>
    <w:p>
      <w:pPr>
        <w:pStyle w:val="P4"/>
        <w:ind w:left="709"/>
      </w:pPr>
      <w:r>
        <w:t>Que evaluado el Expediente de referencia por la Comisión de Hacienda, se emite despacho favorable, aprobado por unanimidad en Sesión Ordinaria del 13 de Agosto de 2008.</w:t>
      </w:r>
    </w:p>
    <w:p>
      <w:pPr>
        <w:pStyle w:val="P4"/>
        <w:ind w:left="709"/>
      </w:pPr>
    </w:p>
    <w:p>
      <w:pPr>
        <w:pStyle w:val="P4"/>
        <w:ind w:left="709"/>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
    <w:p>
      <w:pPr>
        <w:pStyle w:val="P8"/>
      </w:pPr>
      <w:r>
        <w:t xml:space="preserve">                                           </w:t>
      </w:r>
    </w:p>
    <w:p>
      <w:pPr>
        <w:pStyle w:val="P5"/>
        <w:ind w:hanging="600"/>
      </w:pPr>
      <w:r>
        <w:rPr>
          <w:b w:val="1"/>
          <w:bCs w:val="1"/>
          <w:u w:val="single"/>
        </w:rPr>
        <w:t>Art.</w:t>
      </w:r>
      <w:r>
        <w:rPr>
          <w:b w:val="1"/>
          <w:bCs w:val="1"/>
          <w:u w:val="single"/>
        </w:rPr>
        <w:t>1</w:t>
      </w:r>
      <w:r>
        <w:rPr>
          <w:b w:val="1"/>
          <w:bCs w:val="1"/>
        </w:rPr>
        <w:t>:</w:t>
      </w:r>
      <w:r>
        <w:rPr>
          <w:b w:val="1"/>
          <w:bCs w:val="1"/>
        </w:rPr>
        <w:t xml:space="preserve"> AUTORIZA</w:t>
      </w:r>
      <w:r>
        <w:rPr>
          <w:b w:val="1"/>
          <w:bCs w:val="1"/>
        </w:rPr>
        <w:t>SE</w:t>
      </w:r>
      <w:r>
        <w:t xml:space="preserve"> a TUSCAL S.R.L. en formación a realizar la construcción de un emprendimiento de Actividades Deportivas, Recreativas, Salud y Estética, de acuerdo a proyecto presentado y que consta a fs.3, con las excepciones al Artículo 239 de la Ordenanza N° 1294 (Retiro de línea de fondo y FOS);</w:t>
      </w:r>
    </w:p>
    <w:p>
      <w:pPr>
        <w:pStyle w:val="P5"/>
      </w:pPr>
    </w:p>
    <w:p>
      <w:pPr>
        <w:pStyle w:val="P5"/>
        <w:ind w:hanging="600"/>
      </w:pPr>
      <w:r>
        <w:rPr>
          <w:b w:val="1"/>
          <w:bCs w:val="1"/>
          <w:u w:val="single"/>
        </w:rPr>
        <w:t>Art.</w:t>
      </w:r>
      <w:r>
        <w:rPr>
          <w:b w:val="1"/>
          <w:bCs w:val="1"/>
          <w:u w:val="single"/>
        </w:rPr>
        <w:t>2</w:t>
      </w:r>
      <w:r>
        <w:rPr>
          <w:b w:val="1"/>
          <w:bCs w:val="1"/>
        </w:rPr>
        <w:t>:</w:t>
      </w:r>
      <w:r>
        <w:rPr>
          <w:b w:val="1"/>
          <w:bCs w:val="1"/>
        </w:rPr>
        <w:t xml:space="preserve"> OTÒRGASE </w:t>
      </w:r>
      <w:r>
        <w:t xml:space="preserve">un plazo de seis (6) meses a partir de la puesta en vigencia de la presente, a fin de la presentación de la resolución judicial, lo que constituirá la formación definitiva de la Sociedad TUSCAL S.R.L., caso contrario dicha autorización recaerá automáticamente y sin previo aviso sobre los Titulares Registrales del Inmueble.-    </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TRECE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Indent 3"/>
    <w:basedOn w:val="P0"/>
    <w:next w:val="P8"/>
    <w:pPr>
      <w:ind w:left="36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2026-07-09T18:32:29Z</dcterms:created>
  <cp:lastModifiedBy>Federico Parisi</cp:lastModifiedBy>
  <cp:lastPrinted>2008-08-14T23:53:00Z</cp:lastPrinted>
  <dcterms:modified xsi:type="dcterms:W3CDTF">2026-07-09T18:32:29Z</dcterms:modified>
  <cp:revision>2</cp:revision>
  <dc:title>Visto</dc:title>
</cp:coreProperties>
</file>