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jc w:val="both"/>
        <w:rPr>
          <w:rFonts w:ascii="Courier New" w:hAnsi="Courier New"/>
        </w:rPr>
      </w:pPr>
    </w:p>
    <w:p>
      <w:pPr>
        <w:jc w:val="both"/>
        <w:rPr>
          <w:rFonts w:ascii="Courier New" w:hAnsi="Courier New"/>
        </w:rPr>
      </w:pPr>
    </w:p>
    <w:p>
      <w:pPr>
        <w:jc w:val="center"/>
        <w:rPr>
          <w:rFonts w:ascii="Courier New" w:hAnsi="Courier New"/>
          <w:b w:val="1"/>
          <w:bCs w:val="1"/>
          <w:u w:val="single"/>
        </w:rPr>
      </w:pPr>
    </w:p>
    <w:p>
      <w:pPr>
        <w:jc w:val="center"/>
        <w:rPr>
          <w:rFonts w:ascii="Courier New" w:hAnsi="Courier New"/>
          <w:b w:val="1"/>
          <w:bCs w:val="1"/>
          <w:u w:val="single"/>
        </w:rPr>
      </w:pPr>
      <w:r>
        <w:rPr>
          <w:rFonts w:ascii="Courier New" w:hAnsi="Courier New"/>
          <w:b w:val="1"/>
          <w:bCs w:val="1"/>
          <w:u w:val="single"/>
        </w:rPr>
        <w:t>ORDENANZA N° 8162</w:t>
      </w:r>
    </w:p>
    <w:p>
      <w:pPr>
        <w:jc w:val="both"/>
        <w:rPr>
          <w:rFonts w:ascii="Courier New" w:hAnsi="Courier New"/>
        </w:rPr>
      </w:pPr>
    </w:p>
    <w:p>
      <w:pPr>
        <w:jc w:val="both"/>
        <w:rPr>
          <w:rFonts w:ascii="Courier New" w:hAnsi="Courier New"/>
        </w:rPr>
      </w:pPr>
    </w:p>
    <w:p>
      <w:pPr>
        <w:ind w:hanging="720" w:left="720"/>
        <w:rPr>
          <w:rFonts w:ascii="Courier New" w:hAnsi="Courier New"/>
        </w:rPr>
      </w:pPr>
      <w:r>
        <w:rPr>
          <w:rFonts w:ascii="Courier New" w:hAnsi="Courier New"/>
        </w:rPr>
        <w:t xml:space="preserve">Visto: La escala salarial de los trabajadores municipales; y </w:t>
      </w:r>
    </w:p>
    <w:p>
      <w:pPr>
        <w:jc w:val="both"/>
        <w:rPr>
          <w:rFonts w:ascii="Courier New" w:hAnsi="Courier New"/>
        </w:rPr>
      </w:pPr>
    </w:p>
    <w:p>
      <w:pPr>
        <w:jc w:val="both"/>
        <w:rPr>
          <w:rFonts w:ascii="Courier New" w:hAnsi="Courier New"/>
        </w:rPr>
      </w:pPr>
    </w:p>
    <w:p>
      <w:pPr>
        <w:pStyle w:val="P1"/>
      </w:pPr>
      <w:r>
        <w:t>C O N S I D E R A N D O</w:t>
      </w:r>
    </w:p>
    <w:p>
      <w:pPr>
        <w:ind w:left="720"/>
        <w:jc w:val="both"/>
        <w:rPr>
          <w:rFonts w:ascii="Courier New" w:hAnsi="Courier New"/>
        </w:rPr>
      </w:pPr>
    </w:p>
    <w:p>
      <w:pPr>
        <w:ind w:left="720"/>
        <w:jc w:val="right"/>
        <w:rPr>
          <w:rFonts w:ascii="Courier New" w:hAnsi="Courier New"/>
        </w:rPr>
      </w:pPr>
    </w:p>
    <w:p>
      <w:pPr>
        <w:ind w:left="720"/>
        <w:jc w:val="both"/>
        <w:rPr>
          <w:rFonts w:ascii="Courier New" w:hAnsi="Courier New"/>
        </w:rPr>
      </w:pPr>
      <w:r>
        <w:rPr>
          <w:rFonts w:ascii="Courier New" w:hAnsi="Courier New"/>
        </w:rPr>
        <w:t>Que la disminución del poder adquisitivo de la moneda no es ajena a las remuneraciones que perciben los trabajadores de la Municipalidad de la ciudad de Alta Gracia.</w:t>
      </w:r>
    </w:p>
    <w:p>
      <w:pPr>
        <w:ind w:left="720"/>
        <w:jc w:val="both"/>
        <w:rPr>
          <w:rFonts w:ascii="Courier New" w:hAnsi="Courier New"/>
        </w:rPr>
      </w:pPr>
    </w:p>
    <w:p>
      <w:pPr>
        <w:ind w:left="720"/>
        <w:jc w:val="both"/>
        <w:rPr>
          <w:rFonts w:ascii="Courier New" w:hAnsi="Courier New"/>
        </w:rPr>
      </w:pPr>
      <w:r>
        <w:rPr>
          <w:rFonts w:ascii="Courier New" w:hAnsi="Courier New"/>
        </w:rPr>
        <w:t>Que esta desvalorización de la moneda afecta en mayor medida a quienes dependen de ingresos fijos y no pueden acomodar su situación al nivel general de precios de la economía de manera inmediata;</w:t>
      </w:r>
    </w:p>
    <w:p>
      <w:pPr>
        <w:ind w:left="720"/>
        <w:jc w:val="both"/>
        <w:rPr>
          <w:rFonts w:ascii="Courier New" w:hAnsi="Courier New"/>
        </w:rPr>
      </w:pPr>
    </w:p>
    <w:p>
      <w:pPr>
        <w:pStyle w:val="P4"/>
      </w:pPr>
      <w:r>
        <w:t>Que la Municipalidad de Alta Gracia también atraviesa idéntica situación pues sus ingresos tampoco pueden ajustarse de manera inmediata a este cambio en el poder adquisitivo de la moneda atento a que dependen de la recaudación propia -cuya ordenanza tarifaria absorbió dos ejercicios económicos sin incrementos tributarios-, y de la coparticipación impositiva que no ha sido beneficiada con incremento de ninguna naturaleza;</w:t>
      </w:r>
    </w:p>
    <w:p>
      <w:pPr>
        <w:ind w:left="720"/>
        <w:jc w:val="both"/>
        <w:rPr>
          <w:rFonts w:ascii="Courier New" w:hAnsi="Courier New"/>
        </w:rPr>
      </w:pPr>
    </w:p>
    <w:p>
      <w:pPr>
        <w:ind w:left="720"/>
        <w:jc w:val="both"/>
        <w:rPr>
          <w:rFonts w:ascii="Courier New" w:hAnsi="Courier New"/>
        </w:rPr>
      </w:pPr>
      <w:r>
        <w:rPr>
          <w:rFonts w:ascii="Courier New" w:hAnsi="Courier New"/>
        </w:rPr>
        <w:t>Que no obstante ello, se realizaron sucesivas reuniones de la Comisión de Relaciones Laborales donde se fue acordando el mecanismo que permitiera otorgar un incremento salarial, sin que se vean afectadas sustancialmente la prestación de servicios y la consecución de las obras iniciadas o proyectadas por la actual administración;</w:t>
      </w:r>
    </w:p>
    <w:p>
      <w:pPr>
        <w:ind w:left="720"/>
        <w:jc w:val="both"/>
        <w:rPr>
          <w:rFonts w:ascii="Courier New" w:hAnsi="Courier New"/>
        </w:rPr>
      </w:pPr>
    </w:p>
    <w:p>
      <w:pPr>
        <w:ind w:left="720"/>
        <w:jc w:val="both"/>
      </w:pPr>
      <w:r>
        <w:rPr>
          <w:rFonts w:ascii="Courier New" w:hAnsi="Courier New"/>
        </w:rPr>
        <w:t>Que siguiendo esta tesitura se arribó con el SI.TRA.M.A.G. a un acuerdo con el fin de incorporar un incremento salarial del 2,oo % (dos por ciento) a partir del mes de Agosto y hasta el mes de Diciembre de 2008;</w:t>
      </w:r>
    </w:p>
    <w:p>
      <w:pPr>
        <w:ind w:left="720"/>
        <w:jc w:val="both"/>
        <w:rPr>
          <w:rFonts w:ascii="Courier New" w:hAnsi="Courier New"/>
        </w:rPr>
      </w:pPr>
    </w:p>
    <w:p>
      <w:pPr>
        <w:ind w:left="720"/>
        <w:jc w:val="right"/>
        <w:rPr>
          <w:rFonts w:ascii="Courier New" w:hAnsi="Courier New"/>
        </w:rPr>
      </w:pPr>
    </w:p>
    <w:p>
      <w:pPr>
        <w:ind w:left="720"/>
        <w:jc w:val="right"/>
        <w:rPr>
          <w:rFonts w:ascii="Courier New" w:hAnsi="Courier New"/>
        </w:rPr>
      </w:pPr>
      <w:r>
        <w:rPr>
          <w:rFonts w:ascii="Courier New" w:hAnsi="Courier New"/>
        </w:rPr>
        <w:t>...///</w:t>
      </w:r>
    </w:p>
    <w:p>
      <w:pPr>
        <w:ind w:left="720"/>
        <w:jc w:val="both"/>
        <w:rPr>
          <w:rFonts w:ascii="Courier New" w:hAnsi="Courier New"/>
        </w:rPr>
      </w:pPr>
    </w:p>
    <w:p>
      <w:pPr>
        <w:ind w:left="720"/>
        <w:jc w:val="both"/>
        <w:rPr>
          <w:rFonts w:ascii="Courier New" w:hAnsi="Courier New"/>
        </w:rPr>
      </w:pPr>
    </w:p>
    <w:p>
      <w:pPr>
        <w:ind w:left="720"/>
        <w:jc w:val="both"/>
        <w:rPr>
          <w:rFonts w:ascii="Courier New" w:hAnsi="Courier New"/>
        </w:rPr>
      </w:pPr>
    </w:p>
    <w:p>
      <w:pPr>
        <w:ind w:left="720"/>
        <w:jc w:val="both"/>
        <w:rPr>
          <w:rFonts w:ascii="Courier New" w:hAnsi="Courier New"/>
        </w:rPr>
      </w:pPr>
    </w:p>
    <w:p>
      <w:pPr>
        <w:jc w:val="both"/>
        <w:rPr>
          <w:rFonts w:ascii="Courier New" w:hAnsi="Courier New"/>
        </w:rPr>
      </w:pPr>
    </w:p>
    <w:p>
      <w:pPr>
        <w:jc w:val="both"/>
        <w:rPr>
          <w:rFonts w:ascii="Courier New" w:hAnsi="Courier New"/>
        </w:rPr>
      </w:pPr>
    </w:p>
    <w:p>
      <w:pPr>
        <w:jc w:val="both"/>
        <w:rPr>
          <w:rFonts w:ascii="Courier New" w:hAnsi="Courier New"/>
        </w:rPr>
      </w:pPr>
      <w:r>
        <w:rPr>
          <w:rFonts w:ascii="Courier New" w:hAnsi="Courier New"/>
        </w:rPr>
        <w:t>...///2.-</w:t>
      </w:r>
    </w:p>
    <w:p>
      <w:pPr>
        <w:ind w:left="720"/>
        <w:jc w:val="both"/>
        <w:rPr>
          <w:rFonts w:ascii="Courier New" w:hAnsi="Courier New"/>
        </w:rPr>
      </w:pPr>
    </w:p>
    <w:p>
      <w:pPr>
        <w:ind w:left="720"/>
        <w:jc w:val="both"/>
        <w:rPr>
          <w:rFonts w:ascii="Courier New" w:hAnsi="Courier New"/>
        </w:rPr>
      </w:pPr>
    </w:p>
    <w:p>
      <w:pPr>
        <w:ind w:left="720"/>
        <w:jc w:val="both"/>
        <w:rPr>
          <w:rFonts w:ascii="Courier New" w:hAnsi="Courier New"/>
        </w:rPr>
      </w:pPr>
      <w:r>
        <w:rPr>
          <w:rFonts w:ascii="Courier New" w:hAnsi="Courier New"/>
        </w:rPr>
        <w:t>Que el presente incremento –teniendo en cuenta los considerandos anteriores- plantea la necesidad de condicionar la próxima discusión salarial a los aumentos de salarios que otorgue el Gobierno Nacional compatibilizados con el comportamiento de la recaudación –propia y por coparticipación- de la Municipalidad de la ciudad de Alta Gracia;</w:t>
      </w:r>
    </w:p>
    <w:p>
      <w:pPr>
        <w:ind w:left="720"/>
        <w:jc w:val="both"/>
        <w:rPr>
          <w:rFonts w:ascii="Courier New" w:hAnsi="Courier New"/>
        </w:rPr>
      </w:pPr>
    </w:p>
    <w:p>
      <w:pPr>
        <w:ind w:left="720"/>
        <w:jc w:val="both"/>
        <w:rPr>
          <w:rFonts w:ascii="Courier New" w:hAnsi="Courier New"/>
        </w:rPr>
      </w:pPr>
      <w:r>
        <w:rPr>
          <w:rFonts w:ascii="Courier New" w:hAnsi="Courier New"/>
        </w:rPr>
        <w:t>Que se deberán preservar los derechos de los trabajadores, sin comprometer el equilibrio presupuestario y financiero de la Municipalidad;</w:t>
      </w:r>
    </w:p>
    <w:p>
      <w:pPr>
        <w:ind w:left="720"/>
        <w:jc w:val="both"/>
        <w:rPr>
          <w:rFonts w:ascii="Courier New" w:hAnsi="Courier New"/>
        </w:rPr>
      </w:pPr>
    </w:p>
    <w:p>
      <w:pPr>
        <w:ind w:left="720"/>
        <w:jc w:val="both"/>
        <w:rPr>
          <w:b w:val="1"/>
          <w:bCs w:val="1"/>
        </w:rPr>
      </w:pPr>
      <w:r>
        <w:rPr>
          <w:rFonts w:ascii="Courier New" w:hAnsi="Courier New"/>
        </w:rPr>
        <w:t>Que evaluado el Proyecto de Ordenanza presentado por el Departamento Ejecutivo, se emite despacho favorable, aprobado por mayoría en Sesión Extraordinaria del 28 de Agosto de 2008.</w:t>
      </w:r>
    </w:p>
    <w:p/>
    <w:p/>
    <w:p/>
    <w:p>
      <w:pPr>
        <w:pStyle w:val="P1"/>
      </w:pPr>
      <w:r>
        <w:t>EL HONORABLE CONCEJO DELIBERANTE DE LA CIUDAD DE</w:t>
      </w:r>
    </w:p>
    <w:p>
      <w:pPr>
        <w:pStyle w:val="P2"/>
        <w:rPr>
          <w:rFonts w:ascii="Courier New" w:hAnsi="Courier New"/>
        </w:rPr>
      </w:pPr>
      <w:r>
        <w:rPr>
          <w:rFonts w:ascii="Courier New" w:hAnsi="Courier New"/>
        </w:rPr>
        <w:t>ALTA GRACIA SANCIONA CON FUERZA DE ORDENANZA</w:t>
      </w:r>
    </w:p>
    <w:p>
      <w:pPr>
        <w:pStyle w:val="P3"/>
        <w:ind w:left="709"/>
      </w:pPr>
    </w:p>
    <w:p>
      <w:pPr>
        <w:pStyle w:val="P3"/>
        <w:ind w:left="709"/>
      </w:pPr>
    </w:p>
    <w:p>
      <w:pPr>
        <w:ind w:hanging="720" w:left="720"/>
        <w:jc w:val="both"/>
        <w:rPr>
          <w:rFonts w:ascii="Courier New" w:hAnsi="Courier New"/>
          <w:b w:val="1"/>
          <w:bCs w:val="1"/>
          <w:u w:val="single"/>
        </w:rPr>
      </w:pPr>
    </w:p>
    <w:p>
      <w:pPr>
        <w:ind w:hanging="720" w:left="720"/>
        <w:jc w:val="both"/>
        <w:rPr>
          <w:rFonts w:ascii="Courier New" w:hAnsi="Courier New"/>
        </w:rPr>
      </w:pPr>
      <w:r>
        <w:rPr>
          <w:rFonts w:ascii="Courier New" w:hAnsi="Courier New"/>
          <w:b w:val="1"/>
          <w:bCs w:val="1"/>
          <w:u w:val="single"/>
        </w:rPr>
        <w:t>Art.1</w:t>
      </w:r>
      <w:r>
        <w:rPr>
          <w:rFonts w:ascii="Courier New" w:hAnsi="Courier New"/>
          <w:b w:val="1"/>
          <w:bCs w:val="1"/>
        </w:rPr>
        <w:t>: OTÓRGUESE</w:t>
      </w:r>
      <w:r>
        <w:rPr>
          <w:rFonts w:ascii="Courier New" w:hAnsi="Courier New"/>
        </w:rPr>
        <w:t xml:space="preserve"> un incremento del 2 % (dos por ciento) en los sueldos básicos de los trabajadores de la Municipalidad comprendidos en el artículo 3 y en el artículo 4, incisos a) y c), de la Ordenanza 2147/89. Dicho incremento se abonará con los haberes del mes de Diciembre, calculado sobre la escala salarial vigente al mes de Noviembre de 2008.-</w:t>
      </w:r>
    </w:p>
    <w:p>
      <w:pPr>
        <w:jc w:val="both"/>
        <w:rPr>
          <w:rFonts w:ascii="Courier New" w:hAnsi="Courier New"/>
        </w:rPr>
      </w:pPr>
    </w:p>
    <w:p>
      <w:pPr>
        <w:ind w:hanging="720" w:left="720"/>
        <w:jc w:val="both"/>
        <w:rPr>
          <w:rFonts w:ascii="Courier New" w:hAnsi="Courier New"/>
        </w:rPr>
      </w:pPr>
      <w:r>
        <w:rPr>
          <w:rFonts w:ascii="Courier New" w:hAnsi="Courier New"/>
          <w:b w:val="1"/>
          <w:bCs w:val="1"/>
          <w:u w:val="single"/>
        </w:rPr>
        <w:t>Art.2</w:t>
      </w:r>
      <w:r>
        <w:rPr>
          <w:rFonts w:ascii="Courier New" w:hAnsi="Courier New"/>
          <w:b w:val="1"/>
          <w:bCs w:val="1"/>
        </w:rPr>
        <w:t>: CONDICIÓNASE</w:t>
      </w:r>
      <w:r>
        <w:rPr>
          <w:rFonts w:ascii="Courier New" w:hAnsi="Courier New"/>
        </w:rPr>
        <w:t xml:space="preserve"> la próxima discusión salarial a partir de la finalización del segundo semestre del año 2008 y en función de los aumentos de salarios que otorgue el Gobierno Nacional compatibilizados con el comportamiento de la recaudación –propia y/o por coparticipación- de la Municipalidad de la ciudad de Alta Gracia, en aras de preservar su equilibrio presupuestario y financiero.-</w:t>
      </w:r>
    </w:p>
    <w:p>
      <w:pPr>
        <w:jc w:val="both"/>
        <w:rPr>
          <w:rFonts w:ascii="Courier New" w:hAnsi="Courier New"/>
          <w:b w:val="1"/>
          <w:bCs w:val="1"/>
          <w:u w:val="single"/>
        </w:rPr>
      </w:pPr>
    </w:p>
    <w:p>
      <w:pPr>
        <w:jc w:val="right"/>
        <w:rPr>
          <w:rFonts w:ascii="Courier New" w:hAnsi="Courier New"/>
        </w:rPr>
      </w:pPr>
      <w:r>
        <w:rPr>
          <w:rFonts w:ascii="Courier New" w:hAnsi="Courier New"/>
        </w:rPr>
        <w:t>...///</w:t>
      </w:r>
    </w:p>
    <w:p>
      <w:pPr>
        <w:jc w:val="both"/>
        <w:rPr>
          <w:rFonts w:ascii="Courier New" w:hAnsi="Courier New"/>
          <w:b w:val="1"/>
          <w:bCs w:val="1"/>
          <w:u w:val="single"/>
        </w:rPr>
      </w:pPr>
    </w:p>
    <w:p>
      <w:pPr>
        <w:jc w:val="both"/>
        <w:rPr>
          <w:rFonts w:ascii="Courier New" w:hAnsi="Courier New"/>
          <w:b w:val="1"/>
          <w:bCs w:val="1"/>
          <w:u w:val="single"/>
        </w:rPr>
      </w:pPr>
    </w:p>
    <w:p>
      <w:pPr>
        <w:jc w:val="both"/>
        <w:rPr>
          <w:rFonts w:ascii="Courier New" w:hAnsi="Courier New"/>
          <w:b w:val="1"/>
          <w:bCs w:val="1"/>
          <w:u w:val="single"/>
        </w:rPr>
      </w:pPr>
    </w:p>
    <w:p>
      <w:pPr>
        <w:jc w:val="both"/>
        <w:rPr>
          <w:rFonts w:ascii="Courier New" w:hAnsi="Courier New"/>
          <w:b w:val="1"/>
          <w:bCs w:val="1"/>
          <w:u w:val="single"/>
        </w:rPr>
      </w:pPr>
    </w:p>
    <w:p>
      <w:pPr>
        <w:jc w:val="both"/>
        <w:rPr>
          <w:rFonts w:ascii="Courier New" w:hAnsi="Courier New"/>
        </w:rPr>
      </w:pPr>
    </w:p>
    <w:p>
      <w:pPr>
        <w:jc w:val="both"/>
        <w:rPr>
          <w:rFonts w:ascii="Courier New" w:hAnsi="Courier New"/>
        </w:rPr>
      </w:pPr>
    </w:p>
    <w:p>
      <w:pPr>
        <w:jc w:val="both"/>
        <w:rPr>
          <w:rFonts w:ascii="Courier New" w:hAnsi="Courier New"/>
          <w:b w:val="1"/>
          <w:bCs w:val="1"/>
          <w:u w:val="single"/>
        </w:rPr>
      </w:pPr>
      <w:r>
        <w:rPr>
          <w:rFonts w:ascii="Courier New" w:hAnsi="Courier New"/>
        </w:rPr>
        <w:t>...///3.-</w:t>
      </w:r>
    </w:p>
    <w:p>
      <w:pPr>
        <w:jc w:val="both"/>
        <w:rPr>
          <w:rFonts w:ascii="Courier New" w:hAnsi="Courier New"/>
          <w:b w:val="1"/>
          <w:bCs w:val="1"/>
          <w:u w:val="single"/>
        </w:rPr>
      </w:pPr>
    </w:p>
    <w:p>
      <w:pPr>
        <w:jc w:val="both"/>
        <w:rPr>
          <w:rFonts w:ascii="Courier New" w:hAnsi="Courier New"/>
          <w:b w:val="1"/>
          <w:bCs w:val="1"/>
          <w:u w:val="single"/>
        </w:rPr>
      </w:pPr>
    </w:p>
    <w:p>
      <w:pPr>
        <w:ind w:hanging="709" w:left="709"/>
        <w:jc w:val="both"/>
        <w:rPr>
          <w:rFonts w:ascii="Courier New" w:hAnsi="Courier New"/>
        </w:rPr>
      </w:pPr>
      <w:r>
        <w:rPr>
          <w:rFonts w:ascii="Courier New" w:hAnsi="Courier New"/>
          <w:b w:val="1"/>
          <w:bCs w:val="1"/>
          <w:u w:val="single"/>
        </w:rPr>
        <w:t>Art.3</w:t>
      </w:r>
      <w:r>
        <w:rPr>
          <w:rFonts w:ascii="Courier New" w:hAnsi="Courier New"/>
          <w:b w:val="1"/>
          <w:bCs w:val="1"/>
        </w:rPr>
        <w:t>: PROTOCOLÍCESE</w:t>
      </w:r>
      <w:r>
        <w:rPr>
          <w:rFonts w:ascii="Courier New" w:hAnsi="Courier New"/>
        </w:rPr>
        <w:t xml:space="preserve">, comuníquese, publíquese en el Boletín Oficial de la Ciudad de Alta Gracia, transcríbase al Libro de Ordenanzas y archívese. </w:t>
      </w:r>
    </w:p>
    <w:p>
      <w:pPr>
        <w:ind w:hanging="709" w:left="709"/>
        <w:jc w:val="both"/>
        <w:rPr>
          <w:rFonts w:ascii="Courier New" w:hAnsi="Courier New"/>
        </w:rPr>
      </w:pPr>
    </w:p>
    <w:p>
      <w:pPr>
        <w:jc w:val="both"/>
        <w:rPr>
          <w:rFonts w:ascii="Courier New" w:hAnsi="Courier New"/>
        </w:rPr>
      </w:pPr>
    </w:p>
    <w:p>
      <w:pPr>
        <w:pStyle w:val="P5"/>
        <w:rPr>
          <w:rFonts w:ascii="Courier New" w:hAnsi="Courier New"/>
        </w:rPr>
      </w:pPr>
      <w:r>
        <w:rPr>
          <w:rFonts w:ascii="Courier New" w:hAnsi="Courier New"/>
        </w:rPr>
        <w:t xml:space="preserve">DADA EN LA SALA DE SESIONES DEL HONORABLE CONCEJO DELIBERANTE DE LA CIUDAD DE ALTA GRACIA A LOS VEINTIOCHO                DÍAS DEL MES DE AGOSTO DEL AÑO DOS MIL OCHO.-</w:t>
      </w:r>
    </w:p>
    <w:p>
      <w:pPr>
        <w:ind w:hanging="709" w:left="709"/>
        <w:jc w:val="both"/>
        <w:rPr>
          <w:rFonts w:ascii="Courier New" w:hAnsi="Courier New"/>
          <w:b w:val="1"/>
          <w:bCs w:val="1"/>
        </w:rPr>
      </w:pPr>
      <w:r>
        <w:rPr>
          <w:rFonts w:ascii="Courier New" w:hAnsi="Courier New"/>
        </w:rPr>
        <w:t xml:space="preserve"> </w:t>
      </w:r>
      <w:r>
        <w:rPr>
          <w:rFonts w:ascii="Courier New" w:hAnsi="Courier New"/>
          <w:b w:val="1"/>
          <w:bCs w:val="1"/>
        </w:rPr>
        <w:t xml:space="preserve"> </w:t>
      </w:r>
    </w:p>
    <w:p>
      <w:pPr>
        <w:ind w:hanging="720" w:left="720"/>
        <w:jc w:val="both"/>
        <w:rPr>
          <w:rFonts w:ascii="Courier New" w:hAnsi="Courier New"/>
        </w:rPr>
      </w:pPr>
    </w:p>
    <w:p>
      <w:pPr>
        <w:jc w:val="both"/>
        <w:rPr>
          <w:rFonts w:ascii="Courier New" w:hAnsi="Courier New"/>
        </w:rPr>
      </w:pPr>
      <w:r>
        <w:rPr>
          <w:rFonts w:ascii="Courier New" w:hAnsi="Courier New"/>
        </w:rPr>
        <w:t xml:space="preserve"> </w:t>
      </w:r>
    </w:p>
    <w:sectPr>
      <w:type w:val="nextColumn"/>
      <w:pgSz w:w="11908" w:h="16833" w:code="0"/>
      <w:pgMar w:left="1701" w:right="1701" w:top="1418" w:bottom="1418" w:header="567" w:footer="284" w:gutter="0"/>
      <w:noEndnote/>
    </w:sectPr>
  </w:body>
</w:document>
</file>

<file path=word/numbering.xml><?xml version="1.0" encoding="utf-8"?>
<w:numbering xmlns:w="http://schemas.openxmlformats.org/wordprocessingml/2006/main"/>
</file>

<file path=word/settings.xml><?xml version="1.0" encoding="utf-8"?>
<w:settings xmlns:r="http://schemas.openxmlformats.org/officeDocument/2006/relationships" xmlns:w="http://schemas.openxmlformats.org/wordprocessingml/2006/main">
  <w:displayBackgroundShape w:val="0"/>
  <w:doNotTrackMoves/>
  <w:doNotTrackFormatting/>
  <w:defaultTabStop w:val="708"/>
  <w:autoHyphenation w:val="0"/>
  <w:hyphenationZone w:val="425"/>
  <w:evenAndOddHeaders w:val="0"/>
  <w:characterSpacingControl w:val="compressPunctuation"/>
  <w:compat>
    <w:alignTablesRowByRow/>
    <w:splitPgBreakAndParaMark/>
    <w:doNotBreakConstrainedForcedTable/>
    <w:doNotVertAlignCellWithSp/>
    <w:footnoteLayoutLikeWW8/>
    <w:useWord2002TableStyleRules/>
    <w:useFELayout/>
    <w:doNotUseIndentAsNumberingTabStop/>
    <w:compatSetting w:name="compatibilityMode" w:uri="http://schemas.microsoft.com/office/word" w:val="11"/>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cs="Times New Roman" w:eastAsia="Times New Roman"/>
        <w:sz w:val="20"/>
        <w:szCs w:val="20"/>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next w:val="P0"/>
    <w:pPr/>
    <w:rPr>
      <w:sz w:val="24"/>
      <w:szCs w:val="24"/>
      <w:lang w:val="es-ES"/>
    </w:rPr>
  </w:style>
  <w:style w:type="paragraph" w:styleId="P1">
    <w:name w:val="Heading 1"/>
    <w:basedOn w:val="P0"/>
    <w:next w:val="P0"/>
    <w:pPr>
      <w:keepNext w:val="1"/>
      <w:jc w:val="center"/>
      <w:outlineLvl w:val="0"/>
    </w:pPr>
    <w:rPr>
      <w:rFonts w:ascii="Courier New" w:hAnsi="Courier New"/>
      <w:b w:val="1"/>
      <w:bCs w:val="1"/>
    </w:rPr>
  </w:style>
  <w:style w:type="paragraph" w:styleId="P2">
    <w:name w:val="Heading 2"/>
    <w:basedOn w:val="P0"/>
    <w:next w:val="P0"/>
    <w:pPr>
      <w:keepNext w:val="1"/>
      <w:jc w:val="center"/>
      <w:outlineLvl w:val="1"/>
    </w:pPr>
    <w:rPr>
      <w:b w:val="1"/>
      <w:bCs w:val="1"/>
    </w:rPr>
  </w:style>
  <w:style w:type="paragraph" w:styleId="P3">
    <w:name w:val="Body Text Indent 2"/>
    <w:basedOn w:val="P0"/>
    <w:next w:val="P3"/>
    <w:pPr>
      <w:ind w:left="748"/>
      <w:jc w:val="both"/>
    </w:pPr>
    <w:rPr>
      <w:rFonts w:ascii="Courier New" w:hAnsi="Courier New"/>
    </w:rPr>
  </w:style>
  <w:style w:type="paragraph" w:styleId="P4">
    <w:name w:val="Body Text Indent"/>
    <w:basedOn w:val="P0"/>
    <w:next w:val="P4"/>
    <w:pPr>
      <w:ind w:left="720"/>
      <w:jc w:val="both"/>
    </w:pPr>
    <w:rPr>
      <w:rFonts w:ascii="Courier New" w:hAnsi="Courier New"/>
    </w:rPr>
  </w:style>
  <w:style w:type="paragraph" w:styleId="P5">
    <w:name w:val="Body Text 2"/>
    <w:basedOn w:val="P0"/>
    <w:next w:val="P5"/>
    <w:pPr>
      <w:jc w:val="both"/>
    </w:pPr>
    <w:rPr>
      <w:b w:val="1"/>
      <w:bCs w:val="1"/>
    </w:rPr>
  </w:style>
  <w:style w:type="paragraph" w:styleId="P6">
    <w:name w:val="Body Text"/>
    <w:basedOn w:val="P0"/>
    <w:next w:val="P6"/>
    <w:pPr>
      <w:jc w:val="both"/>
    </w:pPr>
    <w:rPr>
      <w:rFonts w:ascii="Courier New" w:hAnsi="Courier New"/>
    </w:rPr>
  </w:style>
  <w:style w:type="paragraph" w:styleId="P7">
    <w:name w:val="Body Text 3"/>
    <w:basedOn w:val="P0"/>
    <w:next w:val="P7"/>
    <w:pPr>
      <w:widowControl w:val="0"/>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jc w:val="both"/>
    </w:pPr>
    <w:rPr>
      <w:sz w:val="28"/>
      <w:szCs w:val="28"/>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API/25.2.3.0</Application>
  <AppVersion>25.2</AppVersion>
  <Template>Normal</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Osvaldo</dc:creator>
  <dcterms:created xsi:type="dcterms:W3CDTF">2026-07-09T18:30:39Z</dcterms:created>
  <cp:lastModifiedBy>Federico Parisi</cp:lastModifiedBy>
  <cp:lastPrinted>2008-08-29T08:58:00Z</cp:lastPrinted>
  <dcterms:modified xsi:type="dcterms:W3CDTF">2026-07-09T18:30:39Z</dcterms:modified>
  <cp:revision>2</cp:revision>
  <dc:title>Visto</dc:title>
</cp:coreProperties>
</file>