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8169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477/I/06, adjuntos 383/07, 384/07;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/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el mismo es iniciado por la Secretaria de Obras y Servicios Públicos referido a pavimentación en hormigón simple de calle Mariano Moreno, entre calle Urquiza y calle Liniers;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4 obra nota firmada por vecinos de la calle de mención solicitando la concreción de dicha obra;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5, Sección Catastro noticia la  Designación Catastral, titularidad, domicilio, ancho y frente de los inmuebles comprendidos en la obra que nos ocupa y a fs. 6/7 agrega las respectivas planchetas catastrales;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fs.10 a fs. 21 consta emisión y suscripción de certificados solicitando conformidad para la ejecución del pavimento de hormigón simple en dicha arteria;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24 se adjunta Expediente Nº 383/07 iniciado por nota de la Sra. Juana Ercoli, con domicilio en Mariano Moreno y Liniers de la ciudad de Alta Gracia, titular del inmueble Designación Catastral 01-01-027-017-000 y del Certificado Nº 6 sobre obra de pavimento en hormigón simple según Expediente Nº 477/I/06 y de obra de cloacas;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dicha vecina solicita plan de pagos acorde a sus posibilidades de pago y a fs.34/45, obran agregados estados de deuda personal de la solicitante, como así también copia de recibo de haberes (fs.30)y relevamiento Socioeconómico (fs. 31);</w:t>
      </w:r>
    </w:p>
    <w:p>
      <w:pPr>
        <w:ind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33, el Departamento Ejecutivo expresa ofrecer a la solicitante forma de pago de acuerdo a la normativa vigente y a fs. 46, la Dirección de Ingresos Públicos informa de monto de deuda por obra de  red cloacal y de pavimento;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49 se adjunta Expediente Nº 384/07, iniciado con nota por la Sra. Ercoli en la que manifiesta además de las deudas de obra de cloacas,  futura obra de pavimentación, haber contraído deuda en obra de gas;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65, en el respectivo relevamiento socioeconómico la solicitante manifiesta voluntad de pago en plan acorde a sus posibilidades oportunamente consensuado con la Dirección de Ingresos Públicos; </w:t>
      </w:r>
    </w:p>
    <w:p>
      <w:pPr>
        <w:pStyle w:val="P4"/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AUTORIZASE </w:t>
      </w:r>
      <w:r>
        <w:rPr>
          <w:rFonts w:ascii="Courier New" w:hAnsi="Courier New"/>
        </w:rPr>
        <w:t>al Departamento Ejecutivo a condonar los intereses de la deuda que por Tasa a la Propiedad mantiene a la fecha de promulgación de la presente las designaciones catastrales 1-01-027-016-000 y 1-01-027-017-000.-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AUTORIZASE</w:t>
      </w:r>
      <w:r>
        <w:rPr>
          <w:rFonts w:ascii="Courier New" w:hAnsi="Courier New"/>
        </w:rPr>
        <w:t xml:space="preserve"> al Departamento Ejecutivo a otorgar plan de pagos con la deuda remanente posterior a la aplicación del artículo precedente a las Designaciones Catastrales en él referidas, acorde a las posibilidades de la solicitante.-</w:t>
      </w:r>
    </w:p>
    <w:p>
      <w:pPr>
        <w:ind w:hanging="600" w:left="60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CONDICIÓNASE </w:t>
      </w:r>
      <w:r>
        <w:rPr>
          <w:rFonts w:ascii="Courier New" w:hAnsi="Courier New"/>
        </w:rPr>
        <w:t>la vigencia del plan concedido en al artículo precedente al pago de las cuotas actuales de las tasas de referencia.-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AUTORÍZASE </w:t>
      </w:r>
      <w:r>
        <w:rPr>
          <w:rFonts w:ascii="Courier New" w:hAnsi="Courier New"/>
        </w:rPr>
        <w:t>al Departamento Ejecutivo a otorgar plan de pagos hasta en 60 cuotas mensuales y consecutivas para la obra de pavimentación en hormigón simple a realizarse en calle Mariano Moreno, entre Liniers y Urquiza, en actuaciones según Expediente Nº 477/I/06 adjuntos 383/07 y 384/07, al inmueble Designación Catastral 1-01-027-017-000.-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 xml:space="preserve">: AUTORIZASE </w:t>
      </w:r>
      <w:r>
        <w:rPr>
          <w:rFonts w:ascii="Courier New" w:hAnsi="Courier New"/>
        </w:rPr>
        <w:t xml:space="preserve">al Departamento Ejecutivo a otorgar plan de pagos hasta en 60 cuotas mensuales y consecutivas  para la obra de red cloacal en calle Mariano Moreno, entre Liniers y Urquiza, al inmueble Designación Catastral 1-01-027-017-000.-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 xml:space="preserve">: ESTABLÉZCASE </w:t>
      </w:r>
      <w:r>
        <w:rPr>
          <w:rFonts w:ascii="Courier New" w:hAnsi="Courier New"/>
        </w:rPr>
        <w:t xml:space="preserve">que la falta de pago de tres cuotas consecutivas o alternadas, de la cuota fijada en los Art. Nº 2º, 4º y  Nº 5, así como la transferencia o cambio de titularidad del inmueble, hará caducar automáticamente el beneficio otorgado.-</w:t>
      </w:r>
      <w:r>
        <w:rPr>
          <w:rFonts w:ascii="Courier New" w:hAnsi="Courier New"/>
          <w:b w:val="1"/>
          <w:bCs w:val="1"/>
        </w:rPr>
        <w:tab/>
        <w:t xml:space="preserve">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Art.7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2026-07-09T18:29:36Z</dcterms:created>
  <cp:lastModifiedBy>Federico Parisi</cp:lastModifiedBy>
  <cp:lastPrinted>2008-09-05T00:38:00Z</cp:lastPrinted>
  <dcterms:modified xsi:type="dcterms:W3CDTF">2026-07-09T18:29:36Z</dcterms:modified>
  <cp:revision>2</cp:revision>
  <dc:title>Visto</dc:title>
</cp:coreProperties>
</file>