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3"/>
      </w:pPr>
      <w:r>
        <w:t>ORDENANZA N° 8184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Nº 143/08 iniciado por Martínez Eugenia – Grupo Betania XI (previa); y </w:t>
      </w:r>
    </w:p>
    <w:p>
      <w:pPr>
        <w:pStyle w:val="P1"/>
        <w:jc w:val="both"/>
      </w:pPr>
    </w:p>
    <w:p/>
    <w:p/>
    <w:p>
      <w:pPr>
        <w:pStyle w:val="P1"/>
      </w:pPr>
      <w:r>
        <w:t>C O N S I D E R A N D O</w:t>
      </w:r>
    </w:p>
    <w:p/>
    <w:p/>
    <w:p/>
    <w:p>
      <w:pPr>
        <w:ind w:left="708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en el mismo se solicita la autorización para construir un edificio de departamentos en los inmuebles designaciones catastrales 3-1-185-19 y 20, ubicadas en Av. del Libertador y José Hernández de Barrio Cámara de nuestra Ciudad, que no cumple con la normativa vigente; </w:t>
      </w:r>
    </w:p>
    <w:p>
      <w:pPr>
        <w:ind w:left="708"/>
        <w:jc w:val="both"/>
        <w:rPr>
          <w:rFonts w:ascii="Courier New" w:hAnsi="Courier New"/>
        </w:rPr>
      </w:pPr>
    </w:p>
    <w:p>
      <w:pPr>
        <w:ind w:left="708"/>
        <w:jc w:val="both"/>
        <w:rPr>
          <w:rFonts w:ascii="Courier New" w:hAnsi="Courier New"/>
        </w:rPr>
      </w:pPr>
      <w:r>
        <w:rPr>
          <w:rFonts w:ascii="Courier New" w:hAnsi="Courier New"/>
        </w:rPr>
        <w:t>Que Catastro a Fs. 2 vta. informa que los propietarios de los inmuebles mencionados son: Macarrón Juan M. (parcela 19) y Villacé Ricardo A. (parcela 20);</w:t>
      </w:r>
    </w:p>
    <w:p>
      <w:pPr>
        <w:ind w:left="708"/>
        <w:jc w:val="both"/>
        <w:rPr>
          <w:rFonts w:ascii="Courier New" w:hAnsi="Courier New"/>
        </w:rPr>
      </w:pPr>
    </w:p>
    <w:p>
      <w:pPr>
        <w:ind w:left="708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la Comisión de Obras y Servicios Públicos tuvo intervención en el presente caso, solicitando al Departamento Ejecutivo que por medio de sus Áreas Técnicas evalúe el Proyecto y se especifique concretamente el pedido de excepción; </w:t>
      </w:r>
    </w:p>
    <w:p>
      <w:pPr>
        <w:ind w:left="708"/>
        <w:jc w:val="both"/>
        <w:rPr>
          <w:rFonts w:ascii="Courier New" w:hAnsi="Courier New"/>
        </w:rPr>
      </w:pPr>
    </w:p>
    <w:p>
      <w:pPr>
        <w:ind w:left="708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por tal motivo llega el presente a este Cuerpo Legislativo, el cual es el no cumplimiento con el Art. 230 de la Ordenanza N° 1294 (Código de Edificación de la Ciudad - Del estacionamiento), tal cual informa el Área de Obras Privadas a Fs. 19; </w:t>
      </w:r>
    </w:p>
    <w:p>
      <w:pPr>
        <w:pStyle w:val="P5"/>
      </w:pPr>
      <w:r>
        <w:t xml:space="preserve">      </w:t>
      </w:r>
    </w:p>
    <w:p>
      <w:pPr>
        <w:pStyle w:val="P4"/>
        <w:ind w:left="709"/>
      </w:pPr>
      <w:r>
        <w:t>Que evaluado el Expediente de referencia por la Comisión de Obras y Servicios Públicos, se emite despacho favorable, aprobado por unanimidad en Sesión Ordinaria del 03 de Septiembre de 2008.</w:t>
      </w:r>
    </w:p>
    <w:p>
      <w:pPr>
        <w:pStyle w:val="P4"/>
        <w:ind w:left="709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4"/>
        <w:ind w:left="709"/>
      </w:pPr>
    </w:p>
    <w:p>
      <w:pPr>
        <w:pStyle w:val="P4"/>
        <w:ind w:left="709"/>
        <w:jc w:val="right"/>
      </w:pPr>
      <w:r>
        <w:t>...///</w:t>
      </w:r>
    </w:p>
    <w:p>
      <w:pPr>
        <w:pStyle w:val="P5"/>
        <w:ind w:left="0"/>
        <w:rPr>
          <w:b w:val="1"/>
          <w:bCs w:val="1"/>
          <w:u w:val="single"/>
        </w:rPr>
      </w:pPr>
    </w:p>
    <w:p>
      <w:pPr>
        <w:pStyle w:val="P5"/>
        <w:ind w:left="0"/>
        <w:rPr>
          <w:b w:val="1"/>
          <w:bCs w:val="1"/>
          <w:u w:val="single"/>
        </w:rPr>
      </w:pPr>
    </w:p>
    <w:p>
      <w:pPr>
        <w:pStyle w:val="P5"/>
        <w:ind w:left="0"/>
        <w:rPr>
          <w:b w:val="1"/>
          <w:bCs w:val="1"/>
          <w:u w:val="single"/>
        </w:rPr>
      </w:pPr>
    </w:p>
    <w:p>
      <w:pPr>
        <w:pStyle w:val="P5"/>
        <w:ind w:left="0"/>
        <w:rPr>
          <w:b w:val="1"/>
          <w:bCs w:val="1"/>
          <w:u w:val="single"/>
        </w:rPr>
      </w:pPr>
    </w:p>
    <w:p>
      <w:pPr>
        <w:pStyle w:val="P5"/>
        <w:ind w:left="0"/>
        <w:rPr>
          <w:b w:val="1"/>
          <w:bCs w:val="1"/>
          <w:u w:val="single"/>
        </w:rPr>
      </w:pPr>
    </w:p>
    <w:p>
      <w:pPr>
        <w:pStyle w:val="P5"/>
        <w:ind w:left="0"/>
        <w:rPr>
          <w:b w:val="1"/>
          <w:bCs w:val="1"/>
          <w:u w:val="single"/>
        </w:rPr>
      </w:pPr>
    </w:p>
    <w:p>
      <w:pPr>
        <w:pStyle w:val="P5"/>
        <w:ind w:left="0"/>
        <w:rPr>
          <w:b w:val="1"/>
          <w:bCs w:val="1"/>
          <w:u w:val="single"/>
        </w:rPr>
      </w:pPr>
    </w:p>
    <w:p>
      <w:pPr>
        <w:pStyle w:val="P5"/>
        <w:ind w:left="0"/>
        <w:rPr>
          <w:b w:val="1"/>
          <w:bCs w:val="1"/>
          <w:u w:val="single"/>
        </w:rPr>
      </w:pPr>
    </w:p>
    <w:p>
      <w:pPr>
        <w:pStyle w:val="P5"/>
        <w:ind w:left="0"/>
      </w:pPr>
      <w:r>
        <w:t>...///2.-</w:t>
      </w:r>
    </w:p>
    <w:p>
      <w:pPr>
        <w:pStyle w:val="P5"/>
        <w:ind w:left="0"/>
        <w:rPr>
          <w:b w:val="1"/>
          <w:bCs w:val="1"/>
          <w:u w:val="single"/>
        </w:rPr>
      </w:pPr>
    </w:p>
    <w:p>
      <w:pPr>
        <w:pStyle w:val="P5"/>
        <w:ind w:hanging="720"/>
      </w:pPr>
      <w:r>
        <w:rPr>
          <w:b w:val="1"/>
          <w:bCs w:val="1"/>
          <w:u w:val="single"/>
        </w:rPr>
        <w:t>Art.1</w:t>
      </w:r>
      <w:r>
        <w:rPr>
          <w:b w:val="1"/>
          <w:bCs w:val="1"/>
        </w:rPr>
        <w:t xml:space="preserve">: </w:t>
      </w:r>
      <w:r>
        <w:rPr>
          <w:b w:val="1"/>
          <w:bCs w:val="1"/>
        </w:rPr>
        <w:t>AUTORIZA</w:t>
      </w:r>
      <w:r>
        <w:rPr>
          <w:b w:val="1"/>
          <w:bCs w:val="1"/>
        </w:rPr>
        <w:t>SE</w:t>
      </w:r>
      <w:r>
        <w:t xml:space="preserve"> a Fideicomiso BETANIA XI, a realizar la construcción de un Edificio de Departamentos con Comercio en Planta Baja, en un todo de acuerdo a proyecto presentado y que consta a Fs. 21, 22, 23 y 24, sin el cumplimiento del Artículo 230 de la Ordenanza N° 1294 (Del Estacionamiento), quedando finalmente una cantidad de doce (12) unidades de cocheras en subsuelo.-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pStyle w:val="P5"/>
        <w:ind w:hanging="720"/>
      </w:pPr>
      <w:r>
        <w:rPr>
          <w:b w:val="1"/>
          <w:bCs w:val="1"/>
          <w:u w:val="single"/>
        </w:rPr>
        <w:t>Art.2</w:t>
      </w:r>
      <w:r>
        <w:rPr>
          <w:b w:val="1"/>
          <w:bCs w:val="1"/>
        </w:rPr>
        <w:t>:</w:t>
      </w:r>
      <w:r>
        <w:rPr>
          <w:b w:val="1"/>
          <w:bCs w:val="1"/>
        </w:rPr>
        <w:t xml:space="preserve"> </w:t>
      </w:r>
      <w:r>
        <w:rPr>
          <w:b w:val="1"/>
          <w:bCs w:val="1"/>
        </w:rPr>
        <w:t>OTÓ</w:t>
      </w:r>
      <w:r>
        <w:rPr>
          <w:b w:val="1"/>
          <w:bCs w:val="1"/>
        </w:rPr>
        <w:t xml:space="preserve">RGASE </w:t>
      </w:r>
      <w:r>
        <w:t xml:space="preserve">un plazo de treinta días a partir de la puesta en vigencia de la presente, a fin de la presentación de la conformación definitiva del Fideicomiso, caso contrario dicha autorización recaerá automáticamente y sin previo aviso sobre los Titulares Registrales del Inmueble.-   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3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TRES                DÍAS DEL MES DE SEPTIEMBRE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7F2A3E30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Heading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bCs w:val="1"/>
      <w:u w:val="single"/>
    </w:rPr>
  </w:style>
  <w:style w:type="paragraph" w:styleId="P4">
    <w:name w:val="Body Text Indent 2"/>
    <w:basedOn w:val="P0"/>
    <w:next w:val="P4"/>
    <w:pPr>
      <w:ind w:left="748"/>
      <w:jc w:val="both"/>
    </w:pPr>
    <w:rPr>
      <w:rFonts w:ascii="Courier New" w:hAnsi="Courier New"/>
    </w:rPr>
  </w:style>
  <w:style w:type="paragraph" w:styleId="P5">
    <w:name w:val="Body Text Indent"/>
    <w:basedOn w:val="P0"/>
    <w:next w:val="P5"/>
    <w:pPr>
      <w:ind w:left="720"/>
      <w:jc w:val="both"/>
    </w:pPr>
    <w:rPr>
      <w:rFonts w:ascii="Courier New" w:hAnsi="Courier New"/>
    </w:rPr>
  </w:style>
  <w:style w:type="paragraph" w:styleId="P6">
    <w:name w:val="Body Text 2"/>
    <w:basedOn w:val="P0"/>
    <w:next w:val="P6"/>
    <w:pPr>
      <w:jc w:val="both"/>
    </w:pPr>
    <w:rPr>
      <w:b w:val="1"/>
      <w:bCs w:val="1"/>
    </w:rPr>
  </w:style>
  <w:style w:type="paragraph" w:styleId="P7">
    <w:name w:val="Body Text"/>
    <w:basedOn w:val="P0"/>
    <w:next w:val="P7"/>
    <w:pPr>
      <w:jc w:val="both"/>
    </w:pPr>
    <w:rPr>
      <w:rFonts w:ascii="Courier New" w:hAnsi="Courier New"/>
    </w:rPr>
  </w:style>
  <w:style w:type="paragraph" w:styleId="P8">
    <w:name w:val="Body Text 3"/>
    <w:basedOn w:val="P0"/>
    <w:next w:val="P8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2026-07-09T18:27:32Z</dcterms:created>
  <cp:lastModifiedBy>Federico Parisi</cp:lastModifiedBy>
  <cp:lastPrinted>2008-09-06T00:11:00Z</cp:lastPrinted>
  <dcterms:modified xsi:type="dcterms:W3CDTF">2026-07-09T18:27:32Z</dcterms:modified>
  <cp:revision>2</cp:revision>
  <dc:title>Visto</dc:title>
</cp:coreProperties>
</file>