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jc w:val="center"/>
        <w:rPr>
          <w:rFonts w:ascii="Courier New" w:hAnsi="Courier New"/>
          <w:b w:val="1"/>
          <w:bCs w:val="1"/>
          <w:u w:val="single"/>
        </w:rPr>
      </w:pPr>
    </w:p>
    <w:p>
      <w:pPr>
        <w:pStyle w:val="P3"/>
      </w:pPr>
      <w:r>
        <w:t>ORDENANZA N° 8190</w:t>
      </w:r>
    </w:p>
    <w:p>
      <w:pPr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Visto: El Expediente N° 2487/00 iniciado por Varas Héctor Raúl solicitando la donación de lote; y </w:t>
      </w:r>
    </w:p>
    <w:p/>
    <w:p/>
    <w:p/>
    <w:p>
      <w:pPr>
        <w:pStyle w:val="P1"/>
      </w:pPr>
      <w:r>
        <w:t>C O N S I D E R A N D O</w:t>
      </w:r>
    </w:p>
    <w:p/>
    <w:p/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Varas Héctor Raúl, se presentó ante la Comisión de Legislación General y manifestó que mediante Ordenanza N° 6440 del año 2003, le fue donado un lote de Terreno, al que nunca pudo tomar posesión en virtud de encontrarse ya ocupado y edificado por otra persona que alegaba derechos posesorios;</w:t>
      </w:r>
    </w:p>
    <w:p>
      <w:pPr>
        <w:ind w:left="720"/>
        <w:jc w:val="both"/>
        <w:rPr>
          <w:rFonts w:ascii="Courier New" w:hAnsi="Courier New"/>
        </w:rPr>
      </w:pPr>
    </w:p>
    <w:p>
      <w:pPr>
        <w:pStyle w:val="P7"/>
        <w:ind w:left="720"/>
      </w:pPr>
      <w:r>
        <w:t>Que dicha circunstancia, con fecha Julio del 2004, fue puesta en conocimiento de la Municipalidad de Alta Gracia, que a través de Oficialía Mayor, aconseja ofrecer al Sr. Varas otro lote, sugiriendo el Lote 6 de la Mza. Of. 13 – Designación Catastral 3-1-296-005, de Bº Parque San Juan, en virtud de encontrarse comprometido en venta y desocupado;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a fs. 26 se agrega el informe elaborado por la Dirección de la Vivienda, de donde surge que el Lote 6 de la Mza. Of. 13 – Designación Catastral 3-1-296-005, de Bº Parque San Juan, se encuentra sin cercos y con malezas muy crecidas denota abandono y que nadie se hace cargo de su mantenimiento, agrega también que los vecinos tiran podas y yuyos en el lugar. Se informa además que el lote mantiene deuda de Tasa por Servicios a la Propiedad desde el año 1995 y con juicio iniciado;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el referido informe establece que el lote de referencia pertenece a los donados por los Sucesores del Dr. Juan Félix Caferatta y Otros, al Municipio, y aceptados por Ordenanza Nº 6094;</w:t>
      </w:r>
    </w:p>
    <w:p>
      <w:pPr>
        <w:ind w:left="720"/>
        <w:jc w:val="both"/>
        <w:rPr>
          <w:rFonts w:ascii="Courier New" w:hAnsi="Courier New"/>
        </w:rPr>
      </w:pPr>
    </w:p>
    <w:p>
      <w:pPr>
        <w:ind w:left="720"/>
        <w:jc w:val="both"/>
        <w:rPr>
          <w:rFonts w:ascii="Courier New" w:hAnsi="Courier New"/>
        </w:rPr>
      </w:pPr>
      <w:r>
        <w:rPr>
          <w:rFonts w:ascii="Courier New" w:hAnsi="Courier New"/>
        </w:rPr>
        <w:t>Que Varas Héctor Raúl reúne los requisitos para ser beneficiaria, según consta en el informe socioeconómico obrante a Fs. 9/10;</w:t>
      </w:r>
    </w:p>
    <w:p>
      <w:pPr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pStyle w:val="P4"/>
        <w:ind w:left="709"/>
      </w:pPr>
    </w:p>
    <w:p>
      <w:pPr>
        <w:pStyle w:val="P4"/>
        <w:ind w:left="709"/>
      </w:pPr>
    </w:p>
    <w:p>
      <w:pPr>
        <w:pStyle w:val="P4"/>
        <w:ind w:left="709"/>
      </w:pPr>
    </w:p>
    <w:p>
      <w:pPr>
        <w:pStyle w:val="P4"/>
        <w:ind w:left="709"/>
      </w:pPr>
    </w:p>
    <w:p>
      <w:pPr>
        <w:pStyle w:val="P4"/>
        <w:ind w:left="709"/>
      </w:pPr>
    </w:p>
    <w:p>
      <w:pPr>
        <w:pStyle w:val="P4"/>
        <w:ind w:left="709"/>
      </w:pPr>
    </w:p>
    <w:p>
      <w:pPr>
        <w:pStyle w:val="P4"/>
        <w:ind w:left="709"/>
      </w:pPr>
    </w:p>
    <w:p>
      <w:pPr>
        <w:pStyle w:val="P4"/>
        <w:ind w:left="0"/>
      </w:pPr>
      <w:r>
        <w:t>...///2.-</w:t>
      </w:r>
    </w:p>
    <w:p>
      <w:pPr>
        <w:pStyle w:val="P4"/>
        <w:ind w:left="0"/>
      </w:pPr>
    </w:p>
    <w:p>
      <w:pPr>
        <w:pStyle w:val="P4"/>
        <w:ind w:left="709"/>
      </w:pPr>
    </w:p>
    <w:p>
      <w:pPr>
        <w:pStyle w:val="P4"/>
        <w:ind w:left="709"/>
      </w:pPr>
      <w:r>
        <w:t>Que evaluado el Expediente de referencia por la Comisión de Legislación General, se emite despacho favorable, aprobado por unanimidad en Sesión Ordinaria del 03 de Septiembre de 2008.</w:t>
      </w:r>
    </w:p>
    <w:p>
      <w:pPr>
        <w:pStyle w:val="P1"/>
      </w:pPr>
    </w:p>
    <w:p/>
    <w:p>
      <w:pPr>
        <w:pStyle w:val="P1"/>
      </w:pPr>
      <w:r>
        <w:t>EL HONORABLE CONCEJO DELIBERANTE DE LA CIUDAD DE</w:t>
      </w:r>
    </w:p>
    <w:p>
      <w:pPr>
        <w:pStyle w:val="P2"/>
        <w:rPr>
          <w:rFonts w:ascii="Courier New" w:hAnsi="Courier New"/>
        </w:rPr>
      </w:pPr>
      <w:r>
        <w:rPr>
          <w:rFonts w:ascii="Courier New" w:hAnsi="Courier New"/>
        </w:rPr>
        <w:t>ALTA GRACIA SANCIONA CON FUERZA DE ORDENANZA</w:t>
      </w:r>
    </w:p>
    <w:p>
      <w:pPr>
        <w:pStyle w:val="P4"/>
        <w:ind w:left="709"/>
      </w:pPr>
    </w:p>
    <w:p>
      <w:pPr>
        <w:pStyle w:val="P5"/>
        <w:ind w:left="0"/>
        <w:rPr>
          <w:b w:val="1"/>
          <w:bCs w:val="1"/>
          <w:u w:val="single"/>
        </w:rPr>
      </w:pPr>
    </w:p>
    <w:p>
      <w:pPr>
        <w:pStyle w:val="P4"/>
        <w:ind w:hanging="720" w:left="720"/>
        <w:rPr>
          <w:b w:val="1"/>
          <w:bCs w:val="1"/>
          <w:u w:val="single"/>
        </w:rPr>
      </w:pPr>
    </w:p>
    <w:p>
      <w:pPr>
        <w:pStyle w:val="P4"/>
        <w:ind w:hanging="720" w:left="720"/>
      </w:pPr>
      <w:r>
        <w:rPr>
          <w:b w:val="1"/>
          <w:bCs w:val="1"/>
          <w:u w:val="single"/>
        </w:rPr>
        <w:t>Art.1</w:t>
      </w:r>
      <w:r>
        <w:rPr>
          <w:b w:val="1"/>
          <w:bCs w:val="1"/>
        </w:rPr>
        <w:t>:</w:t>
      </w:r>
      <w:r>
        <w:t xml:space="preserve"> </w:t>
      </w:r>
      <w:r>
        <w:rPr>
          <w:b w:val="1"/>
          <w:bCs w:val="1"/>
        </w:rPr>
        <w:t>REVOC</w:t>
      </w:r>
      <w:r>
        <w:rPr>
          <w:b w:val="1"/>
          <w:bCs w:val="1"/>
        </w:rPr>
        <w:t>ASE</w:t>
      </w:r>
      <w:r>
        <w:rPr>
          <w:b w:val="1"/>
          <w:bCs w:val="1"/>
        </w:rPr>
        <w:t xml:space="preserve"> </w:t>
      </w:r>
      <w:r>
        <w:t>la donación otorgada por Ordenanza N° 6440 del lote Designación Catastral 03-01-323-007, de Bº Parque San Juan, efectuada, al Sr. Varas Héctor Raúl, D.N.I. 27.457.301.-</w:t>
      </w:r>
    </w:p>
    <w:p>
      <w:pPr>
        <w:pStyle w:val="P4"/>
        <w:ind w:hanging="720" w:left="720"/>
        <w:rPr>
          <w:b w:val="1"/>
          <w:bCs w:val="1"/>
          <w:u w:val="single"/>
        </w:rPr>
      </w:pPr>
    </w:p>
    <w:p>
      <w:pPr>
        <w:pStyle w:val="P4"/>
        <w:ind w:hanging="720" w:left="720"/>
        <w:rPr>
          <w:b w:val="1"/>
          <w:bCs w:val="1"/>
        </w:rPr>
      </w:pPr>
      <w:r>
        <w:rPr>
          <w:b w:val="1"/>
          <w:bCs w:val="1"/>
          <w:u w:val="single"/>
        </w:rPr>
        <w:t>Art.2</w:t>
      </w:r>
      <w:r>
        <w:rPr>
          <w:b w:val="1"/>
          <w:bCs w:val="1"/>
        </w:rPr>
        <w:t>:</w:t>
      </w:r>
      <w:r>
        <w:rPr>
          <w:b w:val="1"/>
          <w:bCs w:val="1"/>
        </w:rPr>
        <w:t xml:space="preserve"> OTORGASE </w:t>
      </w:r>
      <w:r>
        <w:t>en donación el Lote 6 de la Mza. Of. 13 – Designación Catastral 3-1-296-005, de Bº Parque San Juan, al Sr. Varas Héctor Raúl, D.N.I. 23.763.724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3</w:t>
      </w:r>
      <w:r>
        <w:rPr>
          <w:rFonts w:ascii="Courier New" w:hAnsi="Courier New"/>
          <w:b w:val="1"/>
          <w:bCs w:val="1"/>
        </w:rPr>
        <w:t>:</w:t>
      </w: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>EL</w:t>
      </w:r>
      <w:r>
        <w:rPr>
          <w:rFonts w:ascii="Courier New" w:hAnsi="Courier New"/>
        </w:rPr>
        <w:t xml:space="preserve"> beneficiario debe edificar en un plazo máximo de dieciocho (18) meses a partir de la promulgación de la presente Ordenanza, según el correspondiente plano aprobado por las oficinas técnicas correspondientes.-</w:t>
      </w:r>
    </w:p>
    <w:p>
      <w:pPr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4</w:t>
      </w:r>
      <w:r>
        <w:rPr>
          <w:rFonts w:ascii="Courier New" w:hAnsi="Courier New"/>
          <w:b w:val="1"/>
          <w:bCs w:val="1"/>
        </w:rPr>
        <w:t>: LA</w:t>
      </w:r>
      <w:r>
        <w:rPr>
          <w:rFonts w:ascii="Courier New" w:hAnsi="Courier New"/>
        </w:rPr>
        <w:t xml:space="preserve"> donación dispuesta en la presente Ordenanza tiene el carácter de intransferible y caducará de pleno derecho si no se cumplimenta lo prescripto en el Artículo anterior, debiendo el beneficiario restituir el inmueble a la Municipalidad de Alta Gracia y sólo podrá solicitar prórroga para construir si tiene las tasas al día.-</w:t>
      </w:r>
    </w:p>
    <w:p>
      <w:pPr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Art.5</w:t>
      </w:r>
      <w:r>
        <w:rPr>
          <w:rFonts w:ascii="Courier New" w:hAnsi="Courier New"/>
          <w:b w:val="1"/>
          <w:bCs w:val="1"/>
        </w:rPr>
        <w:t>: LA</w:t>
      </w:r>
      <w:r>
        <w:rPr>
          <w:rFonts w:ascii="Courier New" w:hAnsi="Courier New"/>
        </w:rPr>
        <w:t xml:space="preserve"> presente donación es con cargo, debiendo el beneficiario abonar en su totalidad las cargas tributarias que gravan el inmueble, las contribuciones por mejoras, desde la fecha de la donación y los gastos de transferencia de dominio. En el supuesto de incumplimiento de esta obligación, la Municipalidad no </w:t>
      </w:r>
    </w:p>
    <w:p>
      <w:pPr>
        <w:ind w:hanging="567" w:left="567"/>
        <w:jc w:val="right"/>
        <w:rPr>
          <w:rFonts w:ascii="Courier New" w:hAnsi="Courier New"/>
        </w:rPr>
      </w:pPr>
      <w:r>
        <w:rPr>
          <w:rFonts w:ascii="Courier New" w:hAnsi="Courier New"/>
        </w:rPr>
        <w:t>...///</w:t>
      </w:r>
    </w:p>
    <w:p>
      <w:pPr>
        <w:ind w:hanging="567" w:left="567"/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</w:p>
    <w:p>
      <w:pPr>
        <w:ind w:left="567"/>
        <w:jc w:val="both"/>
        <w:rPr>
          <w:rFonts w:ascii="Courier New" w:hAnsi="Courier New"/>
        </w:rPr>
      </w:pPr>
    </w:p>
    <w:p>
      <w:pPr>
        <w:ind w:left="567"/>
        <w:jc w:val="both"/>
        <w:rPr>
          <w:rFonts w:ascii="Courier New" w:hAnsi="Courier New"/>
        </w:rPr>
      </w:pPr>
    </w:p>
    <w:p>
      <w:pPr>
        <w:ind w:left="567"/>
        <w:jc w:val="both"/>
        <w:rPr>
          <w:rFonts w:ascii="Courier New" w:hAnsi="Courier New"/>
        </w:rPr>
      </w:pPr>
    </w:p>
    <w:p>
      <w:pPr>
        <w:ind w:left="567"/>
        <w:jc w:val="both"/>
        <w:rPr>
          <w:rFonts w:ascii="Courier New" w:hAnsi="Courier New"/>
        </w:rPr>
      </w:pPr>
    </w:p>
    <w:p>
      <w:pPr>
        <w:ind w:left="567"/>
        <w:jc w:val="both"/>
        <w:rPr>
          <w:rFonts w:ascii="Courier New" w:hAnsi="Courier New"/>
        </w:rPr>
      </w:pPr>
    </w:p>
    <w:p>
      <w:pPr>
        <w:ind w:left="567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  <w:r>
        <w:rPr>
          <w:rFonts w:ascii="Courier New" w:hAnsi="Courier New"/>
        </w:rPr>
        <w:t>...///3.-</w:t>
      </w:r>
    </w:p>
    <w:p>
      <w:pPr>
        <w:ind w:left="567"/>
        <w:jc w:val="both"/>
        <w:rPr>
          <w:rFonts w:ascii="Courier New" w:hAnsi="Courier New"/>
        </w:rPr>
      </w:pPr>
    </w:p>
    <w:p>
      <w:pPr>
        <w:ind w:left="567"/>
        <w:jc w:val="both"/>
        <w:rPr>
          <w:rFonts w:ascii="Courier New" w:hAnsi="Courier New"/>
        </w:rPr>
      </w:pPr>
      <w:r>
        <w:rPr>
          <w:rFonts w:ascii="Courier New" w:hAnsi="Courier New"/>
        </w:rPr>
        <w:t>se hará  cargo en ningún caso de las erogaciones que deban pagar el beneficiario de acuerdo al presente artículo, debiendo abonar y mantener al día desde la fecha de la presente, la Tasa por Servicios a la Propiedad.-</w:t>
      </w:r>
    </w:p>
    <w:p>
      <w:pPr>
        <w:ind w:left="567"/>
        <w:jc w:val="both"/>
        <w:rPr>
          <w:rFonts w:ascii="Courier New" w:hAnsi="Courier New"/>
        </w:rPr>
      </w:pPr>
    </w:p>
    <w:p>
      <w:pPr>
        <w:ind w:hanging="600" w:left="60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Art.6</w:t>
      </w:r>
      <w:r>
        <w:rPr>
          <w:rFonts w:ascii="Courier New" w:hAnsi="Courier New"/>
          <w:b w:val="1"/>
          <w:bCs w:val="1"/>
        </w:rPr>
        <w:t>: LA</w:t>
      </w:r>
      <w:r>
        <w:rPr>
          <w:rFonts w:ascii="Courier New" w:hAnsi="Courier New"/>
        </w:rPr>
        <w:t xml:space="preserve"> presente Ordenanza es título hábil de posesión hasta tanto el Departamento Ejecutivo otorgue la correspondiente escritura traslativa de dominio.-</w:t>
      </w:r>
    </w:p>
    <w:p>
      <w:pPr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Art.7</w:t>
      </w:r>
      <w:r>
        <w:rPr>
          <w:rFonts w:ascii="Courier New" w:hAnsi="Courier New"/>
          <w:b w:val="1"/>
          <w:bCs w:val="1"/>
        </w:rPr>
        <w:t>: AUTORÍZASE</w:t>
      </w:r>
      <w:r>
        <w:rPr>
          <w:rFonts w:ascii="Courier New" w:hAnsi="Courier New"/>
        </w:rPr>
        <w:t xml:space="preserve"> al Departamento Ejecutivo a suscribir la correspondiente escritura traslativa de dominio, la que se otorgará  de acuerdo con el dictamen final que a ese efecto emita el área correspondiente, previa supervisión, constatación e informe suministrado por el Área Municipal de la Vivienda y previa verificación de que posee las tasas al día, siendo los gastos a cargo del beneficiario.-</w:t>
      </w:r>
    </w:p>
    <w:p>
      <w:pPr>
        <w:jc w:val="both"/>
        <w:rPr>
          <w:rFonts w:ascii="Courier New" w:hAnsi="Courier New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Art.8</w:t>
      </w:r>
      <w:r>
        <w:rPr>
          <w:rFonts w:ascii="Courier New" w:hAnsi="Courier New"/>
          <w:b w:val="1"/>
          <w:bCs w:val="1"/>
        </w:rPr>
        <w:t>: EN</w:t>
      </w:r>
      <w:r>
        <w:rPr>
          <w:rFonts w:ascii="Courier New" w:hAnsi="Courier New"/>
        </w:rPr>
        <w:t xml:space="preserve"> todos los casos el donatario debe, a través del área pertinente, dejar expresa constancia de la conformidad del acto y de la renuncia a posteriores reclamos judiciales al Municipio.-</w:t>
      </w:r>
    </w:p>
    <w:p>
      <w:pPr>
        <w:ind w:hanging="567" w:left="567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567" w:left="567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Art.9</w:t>
      </w:r>
      <w:r>
        <w:rPr>
          <w:rFonts w:ascii="Courier New" w:hAnsi="Courier New"/>
          <w:b w:val="1"/>
          <w:bCs w:val="1"/>
        </w:rPr>
        <w:t>: EL</w:t>
      </w:r>
      <w:r>
        <w:rPr>
          <w:rFonts w:ascii="Courier New" w:hAnsi="Courier New"/>
        </w:rPr>
        <w:t xml:space="preserve"> lote donado debe ser destinado exclusivamente a vivienda familiar del beneficiario y su grupo familiar, siendo intransferible por el término de diez (10) años.-</w:t>
      </w:r>
    </w:p>
    <w:p>
      <w:pPr>
        <w:ind w:hanging="720" w:left="720"/>
        <w:jc w:val="both"/>
        <w:rPr>
          <w:rFonts w:ascii="Courier New" w:hAnsi="Courier New"/>
          <w:b w:val="1"/>
          <w:bCs w:val="1"/>
          <w:u w:val="single"/>
        </w:rPr>
      </w:pPr>
    </w:p>
    <w:p>
      <w:pPr>
        <w:ind w:hanging="720" w:left="720"/>
        <w:jc w:val="both"/>
        <w:rPr>
          <w:rFonts w:ascii="Courier New" w:hAnsi="Courier New"/>
        </w:rPr>
      </w:pPr>
      <w:r>
        <w:rPr>
          <w:rFonts w:ascii="Courier New" w:hAnsi="Courier New"/>
          <w:b w:val="1"/>
          <w:bCs w:val="1"/>
          <w:u w:val="single"/>
        </w:rPr>
        <w:t>Art.</w:t>
      </w:r>
      <w:r>
        <w:rPr>
          <w:rFonts w:ascii="Courier New" w:hAnsi="Courier New"/>
          <w:b w:val="1"/>
          <w:bCs w:val="1"/>
          <w:u w:val="single"/>
        </w:rPr>
        <w:t>10</w:t>
      </w:r>
      <w:r>
        <w:rPr>
          <w:rFonts w:ascii="Courier New" w:hAnsi="Courier New"/>
          <w:b w:val="1"/>
          <w:bCs w:val="1"/>
        </w:rPr>
        <w:t>: PROTOCOLÍCESE</w:t>
      </w:r>
      <w:r>
        <w:rPr>
          <w:rFonts w:ascii="Courier New" w:hAnsi="Courier New"/>
        </w:rPr>
        <w:t xml:space="preserve">, comuníquese, publíquese en el Boletín Oficial de la Ciudad de Alta Gracia, transcríbase al Libro de Ordenanzas y archívese. </w:t>
      </w:r>
    </w:p>
    <w:p>
      <w:pPr>
        <w:ind w:hanging="709" w:left="709"/>
        <w:jc w:val="both"/>
        <w:rPr>
          <w:rFonts w:ascii="Courier New" w:hAnsi="Courier New"/>
        </w:rPr>
      </w:pPr>
    </w:p>
    <w:p>
      <w:pPr>
        <w:jc w:val="both"/>
        <w:rPr>
          <w:rFonts w:ascii="Courier New" w:hAnsi="Courier New"/>
        </w:rPr>
      </w:pPr>
    </w:p>
    <w:p>
      <w:pPr>
        <w:pStyle w:val="P6"/>
        <w:rPr>
          <w:rFonts w:ascii="Courier New" w:hAnsi="Courier New"/>
        </w:rPr>
      </w:pPr>
      <w:r>
        <w:rPr>
          <w:rFonts w:ascii="Courier New" w:hAnsi="Courier New"/>
        </w:rPr>
        <w:t xml:space="preserve">DADA EN LA SALA DE SESIONES DEL HONORABLE CONCEJO DELIBERANTE DE LA CIUDAD DE ALTA GRACIA A LOS TRES                DÍAS DEL MES DE SEPTIEMBRE DEL AÑO DOS MIL OCHO.-</w:t>
      </w:r>
    </w:p>
    <w:p>
      <w:pPr>
        <w:ind w:hanging="709" w:left="709"/>
        <w:jc w:val="both"/>
        <w:rPr>
          <w:rFonts w:ascii="Courier New" w:hAnsi="Courier New"/>
          <w:b w:val="1"/>
          <w:bCs w:val="1"/>
        </w:rPr>
      </w:pPr>
      <w:r>
        <w:rPr>
          <w:rFonts w:ascii="Courier New" w:hAnsi="Courier New"/>
        </w:rPr>
        <w:t xml:space="preserve"> </w:t>
      </w:r>
      <w:r>
        <w:rPr>
          <w:rFonts w:ascii="Courier New" w:hAnsi="Courier New"/>
          <w:b w:val="1"/>
          <w:bCs w:val="1"/>
        </w:rPr>
        <w:t xml:space="preserve"> </w:t>
      </w:r>
    </w:p>
    <w:sectPr>
      <w:type w:val="nextColumn"/>
      <w:pgSz w:w="11908" w:h="16833" w:code="0"/>
      <w:pgMar w:left="1701" w:right="1701" w:top="1418" w:bottom="1418" w:header="567" w:footer="284" w:gutter="0"/>
      <w:noEndnote/>
    </w:sectPr>
  </w:body>
</w:document>
</file>

<file path=word/numbering.xml><?xml version="1.0" encoding="utf-8"?>
<w:numbering xmlns:w="http://schemas.openxmlformats.org/wordprocessingml/2006/main">
  <w:abstractNum w:abstractNumId="0">
    <w:nsid w:val="3CA127FC"/>
    <w:multiLevelType w:val="multilevel"/>
    <w:lvl w:ilvl="0">
      <w:start w:val="2"/>
      <w:numFmt w:val="decimal"/>
      <w:suff w:val="tab"/>
      <w:lvlText w:val="%1)"/>
      <w:lvlJc w:val="left"/>
      <w:pPr>
        <w:ind w:hanging="360" w:left="720"/>
        <w:tabs>
          <w:tab w:val="num" w:pos="720" w:leader="none"/>
        </w:tabs>
      </w:pPr>
      <w:rPr>
        <w:sz w:val="28"/>
        <w:szCs w:val="28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abstractNum w:abstractNumId="1">
    <w:nsid w:val="7F2A3E30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num" w:pos="36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num" w:pos="6480" w:leader="none"/>
        </w:tabs>
      </w:pPr>
      <w:rPr/>
    </w:lvl>
  </w:abstractNum>
  <w:num w:numId="1">
    <w:abstractNumId w:val="1"/>
  </w:num>
  <w:num w:numId="2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alignTablesRowByRow/>
    <w:splitPgBreakAndParaMark/>
    <w:doNotBreakConstrainedForcedTable/>
    <w:doNotVertAlignCellWithSp/>
    <w:footnoteLayoutLikeWW8/>
    <w:useWord2002TableStyleRules/>
    <w:useFELayout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4"/>
      <w:szCs w:val="24"/>
      <w:lang w:val="es-ES"/>
    </w:rPr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Courier New" w:hAnsi="Courier New"/>
      <w:b w:val="1"/>
      <w:bCs w:val="1"/>
    </w:rPr>
  </w:style>
  <w:style w:type="paragraph" w:styleId="P2">
    <w:name w:val="Heading 2"/>
    <w:basedOn w:val="P0"/>
    <w:next w:val="P0"/>
    <w:pPr>
      <w:keepNext w:val="1"/>
      <w:jc w:val="center"/>
      <w:outlineLvl w:val="1"/>
    </w:pPr>
    <w:rPr>
      <w:b w:val="1"/>
      <w:bCs w:val="1"/>
    </w:rPr>
  </w:style>
  <w:style w:type="paragraph" w:styleId="P3">
    <w:name w:val="Heading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bCs w:val="1"/>
      <w:u w:val="single"/>
    </w:rPr>
  </w:style>
  <w:style w:type="paragraph" w:styleId="P4">
    <w:name w:val="Body Text Indent 2"/>
    <w:basedOn w:val="P0"/>
    <w:next w:val="P4"/>
    <w:pPr>
      <w:ind w:left="748"/>
      <w:jc w:val="both"/>
    </w:pPr>
    <w:rPr>
      <w:rFonts w:ascii="Courier New" w:hAnsi="Courier New"/>
    </w:rPr>
  </w:style>
  <w:style w:type="paragraph" w:styleId="P5">
    <w:name w:val="Body Text Indent"/>
    <w:basedOn w:val="P0"/>
    <w:next w:val="P5"/>
    <w:pPr>
      <w:ind w:left="720"/>
      <w:jc w:val="both"/>
    </w:pPr>
    <w:rPr>
      <w:rFonts w:ascii="Courier New" w:hAnsi="Courier New"/>
    </w:rPr>
  </w:style>
  <w:style w:type="paragraph" w:styleId="P6">
    <w:name w:val="Body Text 2"/>
    <w:basedOn w:val="P0"/>
    <w:next w:val="P6"/>
    <w:pPr>
      <w:jc w:val="both"/>
    </w:pPr>
    <w:rPr>
      <w:b w:val="1"/>
      <w:bCs w:val="1"/>
    </w:rPr>
  </w:style>
  <w:style w:type="paragraph" w:styleId="P7">
    <w:name w:val="Body Text"/>
    <w:basedOn w:val="P0"/>
    <w:next w:val="P7"/>
    <w:pPr>
      <w:jc w:val="both"/>
    </w:pPr>
    <w:rPr>
      <w:rFonts w:ascii="Courier New" w:hAnsi="Courier New"/>
    </w:rPr>
  </w:style>
  <w:style w:type="paragraph" w:styleId="P8">
    <w:name w:val="Body Text 3"/>
    <w:basedOn w:val="P0"/>
    <w:next w:val="P8"/>
    <w:pPr>
      <w:widowControl w:val="0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</w:tabs>
      <w:jc w:val="both"/>
    </w:pPr>
    <w:rPr>
      <w:sz w:val="28"/>
      <w:szCs w:val="2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Osvaldo</dc:creator>
  <dcterms:created xsi:type="dcterms:W3CDTF">2026-07-09T18:26:40Z</dcterms:created>
  <cp:lastModifiedBy>Federico Parisi</cp:lastModifiedBy>
  <cp:lastPrinted>2008-09-08T23:57:00Z</cp:lastPrinted>
  <dcterms:modified xsi:type="dcterms:W3CDTF">2026-07-09T18:26:40Z</dcterms:modified>
  <cp:revision>2</cp:revision>
  <dc:title>Visto</dc:title>
</cp:coreProperties>
</file>