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b w:val="1"/>
          <w:bCs w:val="1"/>
          <w:u w:val="single"/>
        </w:rPr>
      </w:pPr>
    </w:p>
    <w:p>
      <w:pPr>
        <w:jc w:val="center"/>
        <w:rPr>
          <w:rFonts w:ascii="Courier New" w:hAnsi="Courier New"/>
          <w:b w:val="1"/>
          <w:bCs w:val="1"/>
          <w:u w:val="single"/>
        </w:rPr>
      </w:pPr>
    </w:p>
    <w:p>
      <w:pPr>
        <w:pStyle w:val="P3"/>
      </w:pPr>
      <w:r>
        <w:t>ORDENANZA N° 8197</w:t>
      </w:r>
    </w:p>
    <w:p>
      <w:pPr>
        <w:jc w:val="both"/>
        <w:rPr>
          <w:rFonts w:ascii="Courier New" w:hAnsi="Courier New"/>
        </w:rPr>
      </w:pPr>
    </w:p>
    <w:p>
      <w:pPr>
        <w:jc w:val="both"/>
        <w:rPr>
          <w:rFonts w:ascii="Courier New" w:hAnsi="Courier New"/>
        </w:rPr>
      </w:pPr>
    </w:p>
    <w:p>
      <w:pPr>
        <w:ind w:hanging="720" w:left="720"/>
        <w:jc w:val="both"/>
        <w:rPr>
          <w:rFonts w:ascii="Courier New" w:hAnsi="Courier New"/>
        </w:rPr>
      </w:pPr>
      <w:r>
        <w:rPr>
          <w:rFonts w:ascii="Courier New" w:hAnsi="Courier New"/>
        </w:rPr>
        <w:t xml:space="preserve">Visto: El Fondo Permanente para la Financiación de Proyectos y Programas de los Gobiernos Locales de la Provincia de Córdoba; y </w:t>
      </w:r>
    </w:p>
    <w:p>
      <w:pPr>
        <w:rPr>
          <w:rFonts w:ascii="Courier New" w:hAnsi="Courier New"/>
        </w:rPr>
      </w:pPr>
    </w:p>
    <w:p>
      <w:pPr>
        <w:pStyle w:val="P1"/>
      </w:pPr>
    </w:p>
    <w:p>
      <w:pPr>
        <w:pStyle w:val="P1"/>
      </w:pPr>
      <w:r>
        <w:t>C O N S I D E R A N D O</w:t>
      </w:r>
    </w:p>
    <w:p>
      <w:pPr>
        <w:rPr>
          <w:rFonts w:ascii="Courier New" w:hAnsi="Courier New"/>
        </w:rPr>
      </w:pPr>
    </w:p>
    <w:p>
      <w:pPr>
        <w:ind w:left="720"/>
        <w:jc w:val="both"/>
        <w:rPr>
          <w:rFonts w:ascii="Courier New" w:hAnsi="Courier New"/>
        </w:rPr>
      </w:pPr>
      <w:r>
        <w:rPr>
          <w:rFonts w:ascii="Courier New" w:hAnsi="Courier New"/>
        </w:rPr>
        <w:t>Que se hace necesaria una paulatina y creciente renovación de la flota de vehículos destinados a la prestación de servicios y realización de obras públicas imprescindibles para el desarrollo de la ciudad;</w:t>
      </w:r>
    </w:p>
    <w:p>
      <w:pPr>
        <w:ind w:left="720"/>
        <w:jc w:val="both"/>
        <w:rPr>
          <w:rFonts w:ascii="Courier New" w:hAnsi="Courier New"/>
        </w:rPr>
      </w:pPr>
    </w:p>
    <w:p>
      <w:pPr>
        <w:pStyle w:val="P5"/>
      </w:pPr>
      <w:r>
        <w:t>Que el acceso al crédito es harto restringido para los Estados Municipales -y también para los Provinciales-, atento al elevado costo del dinero y a la autorización previa para endeudarse que debe gestionarse por ante el Ministerio de Economía de la Nación;</w:t>
      </w:r>
    </w:p>
    <w:p>
      <w:pPr>
        <w:ind w:left="720"/>
        <w:jc w:val="both"/>
        <w:rPr>
          <w:rFonts w:ascii="Courier New" w:hAnsi="Courier New"/>
        </w:rPr>
      </w:pPr>
    </w:p>
    <w:p>
      <w:pPr>
        <w:ind w:left="720"/>
        <w:jc w:val="both"/>
        <w:rPr>
          <w:rFonts w:ascii="Courier New" w:hAnsi="Courier New"/>
        </w:rPr>
      </w:pPr>
      <w:r>
        <w:rPr>
          <w:rFonts w:ascii="Courier New" w:hAnsi="Courier New"/>
        </w:rPr>
        <w:t>Que esta restricción se extiende aún a los alquileres con opción a compra (leasing), lo que desvirtúa su definición conceptual y su esencia misma;</w:t>
      </w:r>
    </w:p>
    <w:p>
      <w:pPr>
        <w:ind w:left="720"/>
        <w:jc w:val="both"/>
        <w:rPr>
          <w:rFonts w:ascii="Courier New" w:hAnsi="Courier New"/>
        </w:rPr>
      </w:pPr>
    </w:p>
    <w:p>
      <w:pPr>
        <w:ind w:left="720"/>
        <w:jc w:val="both"/>
        <w:rPr>
          <w:rFonts w:ascii="Courier New" w:hAnsi="Courier New"/>
        </w:rPr>
      </w:pPr>
      <w:r>
        <w:rPr>
          <w:rFonts w:ascii="Courier New" w:hAnsi="Courier New"/>
        </w:rPr>
        <w:t>Que en este contexto, dicho Fondo se presenta como una excepcional herramienta de financiación al alcance de los Gobiernos Locales de nuestra Provincia;</w:t>
      </w:r>
    </w:p>
    <w:p>
      <w:pPr>
        <w:ind w:left="720"/>
        <w:jc w:val="both"/>
        <w:rPr>
          <w:rFonts w:ascii="Courier New" w:hAnsi="Courier New"/>
        </w:rPr>
      </w:pPr>
    </w:p>
    <w:p>
      <w:pPr>
        <w:ind w:left="720"/>
        <w:jc w:val="both"/>
        <w:rPr>
          <w:rFonts w:ascii="Courier New" w:hAnsi="Courier New"/>
        </w:rPr>
      </w:pPr>
      <w:r>
        <w:rPr>
          <w:rFonts w:ascii="Courier New" w:hAnsi="Courier New"/>
        </w:rPr>
        <w:t>Que el Estado Municipal de la ciudad de Alta Gracia adhirió al citado Fondo mediante Ordenanza Nº 7.074;</w:t>
      </w:r>
    </w:p>
    <w:p>
      <w:pPr>
        <w:ind w:left="720"/>
        <w:jc w:val="both"/>
        <w:rPr>
          <w:rFonts w:ascii="Courier New" w:hAnsi="Courier New"/>
        </w:rPr>
      </w:pPr>
    </w:p>
    <w:p>
      <w:pPr>
        <w:ind w:left="720"/>
        <w:jc w:val="both"/>
        <w:rPr>
          <w:rFonts w:ascii="Courier New" w:hAnsi="Courier New"/>
        </w:rPr>
      </w:pPr>
      <w:r>
        <w:rPr>
          <w:rFonts w:ascii="Courier New" w:hAnsi="Courier New"/>
        </w:rPr>
        <w:t>Que es menester facultar al Departamento Ejecutivo mediante ordenanza aprobatoria del proyecto de adquisición de rodados y maquinarias, y autorización para la toma del préstamo y su restitución por cesión de coparticipación con garantía subsidiaria de las rentas municipales;</w:t>
      </w:r>
    </w:p>
    <w:p>
      <w:pPr>
        <w:jc w:val="both"/>
        <w:rPr>
          <w:rFonts w:ascii="Courier New" w:hAnsi="Courier New"/>
        </w:rPr>
      </w:pPr>
    </w:p>
    <w:p>
      <w:pPr>
        <w:pStyle w:val="P4"/>
        <w:ind w:left="709"/>
      </w:pPr>
      <w:r>
        <w:t>Que evaluado el Proyecto de Ordenanza de referencia por la totalidad de los Concejales, se aprueba por unanimidad en Sesión Ordinaria del 17 de Septiembre de 2008.</w:t>
      </w:r>
    </w:p>
    <w:p>
      <w:pPr>
        <w:pStyle w:val="P4"/>
        <w:ind w:left="709"/>
        <w:jc w:val="right"/>
      </w:pPr>
      <w:r>
        <w:t>...///</w:t>
      </w:r>
    </w:p>
    <w:p>
      <w:pPr>
        <w:pStyle w:val="P1"/>
      </w:pPr>
    </w:p>
    <w:p>
      <w:pPr>
        <w:rPr>
          <w:rFonts w:ascii="Courier New" w:hAnsi="Courier New"/>
        </w:rPr>
      </w:pPr>
    </w:p>
    <w:p>
      <w:pPr>
        <w:pStyle w:val="P1"/>
      </w:pPr>
    </w:p>
    <w:p>
      <w:pPr>
        <w:pStyle w:val="P1"/>
      </w:pPr>
    </w:p>
    <w:p>
      <w:pPr>
        <w:pStyle w:val="P1"/>
      </w:pPr>
    </w:p>
    <w:p>
      <w:pPr>
        <w:pStyle w:val="P1"/>
      </w:pPr>
    </w:p>
    <w:p>
      <w:pPr>
        <w:pStyle w:val="P1"/>
        <w:jc w:val="left"/>
        <w:rPr>
          <w:b w:val="1"/>
          <w:bCs w:val="1"/>
        </w:rPr>
      </w:pPr>
      <w:r>
        <w:rPr>
          <w:b w:val="0"/>
          <w:bCs w:val="0"/>
        </w:rPr>
        <w:t>...///2.-</w:t>
      </w:r>
    </w:p>
    <w:p>
      <w:pPr>
        <w:pStyle w:val="P1"/>
      </w:pPr>
    </w:p>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5"/>
        <w:tabs>
          <w:tab w:val="left" w:pos="7480" w:leader="none"/>
        </w:tabs>
        <w:ind w:left="0"/>
      </w:pPr>
    </w:p>
    <w:p>
      <w:pPr>
        <w:pStyle w:val="P5"/>
        <w:tabs>
          <w:tab w:val="left" w:pos="7480" w:leader="none"/>
        </w:tabs>
        <w:ind w:left="0"/>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w:t>
      </w:r>
      <w:r>
        <w:rPr>
          <w:rFonts w:ascii="Courier New" w:hAnsi="Courier New"/>
        </w:rPr>
        <w:t xml:space="preserve"> </w:t>
      </w:r>
      <w:r>
        <w:rPr>
          <w:rFonts w:ascii="Courier New" w:hAnsi="Courier New"/>
          <w:b w:val="1"/>
          <w:bCs w:val="1"/>
        </w:rPr>
        <w:t>APRUÉBASE</w:t>
      </w:r>
      <w:r>
        <w:rPr>
          <w:rFonts w:ascii="Courier New" w:hAnsi="Courier New"/>
        </w:rPr>
        <w:t xml:space="preserve"> el Proyecto de Adquisición de Rodados y Maquinarias que se incorpora como ANEXO I de esta Ordenanza.- </w:t>
      </w: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Art.2</w:t>
      </w:r>
      <w:r>
        <w:rPr>
          <w:rFonts w:ascii="Courier New" w:hAnsi="Courier New"/>
          <w:b w:val="1"/>
          <w:bCs w:val="1"/>
        </w:rPr>
        <w:t>:</w:t>
      </w:r>
      <w:r>
        <w:rPr>
          <w:rFonts w:ascii="Courier New" w:hAnsi="Courier New"/>
          <w:b w:val="1"/>
          <w:bCs w:val="1"/>
        </w:rPr>
        <w:t xml:space="preserve"> </w:t>
      </w:r>
      <w:r>
        <w:rPr>
          <w:rFonts w:ascii="Courier New" w:hAnsi="Courier New"/>
          <w:b w:val="1"/>
          <w:bCs w:val="1"/>
        </w:rPr>
        <w:t>FACÚLTASE</w:t>
      </w:r>
      <w:r>
        <w:rPr>
          <w:rFonts w:ascii="Courier New" w:hAnsi="Courier New"/>
        </w:rPr>
        <w:t>, al Departamento Ejecutivo Municipal para que gestione y tome del Fondo Permanente para la Financiación de Proyectos y Programas de los Gobiernos Locales de la Provincia de Córdoba, un préstamo de hasta $ 1.200.000,oo.- (PESOS: UN MILLÓN DOSCIENTOS MIL.-) con destino a la ejecución del Proyecto que se aprueba en el artículo 1º.-</w:t>
      </w: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Art.3</w:t>
      </w:r>
      <w:r>
        <w:rPr>
          <w:rFonts w:ascii="Courier New" w:hAnsi="Courier New"/>
          <w:b w:val="1"/>
          <w:bCs w:val="1"/>
        </w:rPr>
        <w:t xml:space="preserve">: </w:t>
      </w:r>
      <w:r>
        <w:rPr>
          <w:rFonts w:ascii="Courier New" w:hAnsi="Courier New"/>
          <w:b w:val="1"/>
          <w:bCs w:val="1"/>
        </w:rPr>
        <w:t>FACÚLTASE</w:t>
      </w:r>
      <w:r>
        <w:rPr>
          <w:rFonts w:ascii="Courier New" w:hAnsi="Courier New"/>
        </w:rPr>
        <w:t xml:space="preserve"> al Departamento Ejecutivo para que, en pago del crédito que obtenga en ejercicio de la facultad que se le confiere por el artículo anterior, ceda al Fondo que le otorgue el préstamo, de la coparticipación que mensualmente corresponda al Municipio en los Impuestos provinciales, conforme a la Ley 8663, o la que en el futuro la sustituya o modifique, hasta la suma de pesos $ 33.333,33.- (PESOS: TREINTA Y TRES MIL TRESCIENTOS TREINTA Y TRES CON TREINTA Y TRES CENTAVOS.-) mensuales durante el termino máximo de 36 (TREINTA Y SEIS) meses.</w:t>
        <w:tab/>
        <w:t>-</w:t>
      </w: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Art.4</w:t>
      </w:r>
      <w:r>
        <w:rPr>
          <w:rFonts w:ascii="Courier New" w:hAnsi="Courier New"/>
          <w:b w:val="1"/>
          <w:bCs w:val="1"/>
        </w:rPr>
        <w:t>:</w:t>
      </w:r>
      <w:r>
        <w:rPr>
          <w:rFonts w:ascii="Courier New" w:hAnsi="Courier New"/>
          <w:b w:val="1"/>
          <w:bCs w:val="1"/>
        </w:rPr>
        <w:t xml:space="preserve"> </w:t>
      </w:r>
      <w:r>
        <w:rPr>
          <w:rFonts w:ascii="Courier New" w:hAnsi="Courier New"/>
          <w:b w:val="1"/>
          <w:bCs w:val="1"/>
        </w:rPr>
        <w:t>FACÚLTASE</w:t>
      </w:r>
      <w:r>
        <w:rPr>
          <w:rFonts w:ascii="Courier New" w:hAnsi="Courier New"/>
        </w:rPr>
        <w:t xml:space="preserve"> al Departamento Ejecutivo para que, notifique formalmente a la Provincia de la cesión que efectúe en ejercicio de la facultad que se le confiere por el articulo anterior, anoticiándola de que, en mérito a la cesión, deberá mensualmente pagar la suma cedida directamente al cesionario.-</w:t>
      </w: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Art.5</w:t>
      </w:r>
      <w:r>
        <w:rPr>
          <w:rFonts w:ascii="Courier New" w:hAnsi="Courier New"/>
          <w:b w:val="1"/>
          <w:bCs w:val="1"/>
        </w:rPr>
        <w:t>:</w:t>
      </w:r>
      <w:r>
        <w:rPr>
          <w:rFonts w:ascii="Courier New" w:hAnsi="Courier New"/>
          <w:b w:val="1"/>
          <w:bCs w:val="1"/>
        </w:rPr>
        <w:t xml:space="preserve"> </w:t>
      </w:r>
      <w:r>
        <w:rPr>
          <w:rFonts w:ascii="Courier New" w:hAnsi="Courier New"/>
          <w:b w:val="1"/>
          <w:bCs w:val="1"/>
        </w:rPr>
        <w:t>FACÚLTASE</w:t>
      </w:r>
      <w:r>
        <w:rPr>
          <w:rFonts w:ascii="Courier New" w:hAnsi="Courier New"/>
        </w:rPr>
        <w:t xml:space="preserve"> al Departamento Ejecutivo para que garantice la existencia y cobrabilidad del crédito que ceda  en  ejercicio de la facultad del articulo 4º de </w:t>
      </w:r>
    </w:p>
    <w:p>
      <w:pPr>
        <w:ind w:hanging="720" w:left="720"/>
        <w:jc w:val="right"/>
        <w:rPr>
          <w:rFonts w:ascii="Courier New" w:hAnsi="Courier New"/>
        </w:rPr>
      </w:pPr>
    </w:p>
    <w:p>
      <w:pPr>
        <w:ind w:hanging="720" w:left="720"/>
        <w:jc w:val="right"/>
        <w:rPr>
          <w:rFonts w:ascii="Courier New" w:hAnsi="Courier New"/>
        </w:rPr>
      </w:pPr>
      <w:r>
        <w:rPr>
          <w:rFonts w:ascii="Courier New" w:hAnsi="Courier New"/>
        </w:rPr>
        <w:t>...///</w:t>
      </w:r>
    </w:p>
    <w:p>
      <w:pPr>
        <w:ind w:hanging="720" w:left="720"/>
        <w:jc w:val="both"/>
        <w:rPr>
          <w:rFonts w:ascii="Courier New" w:hAnsi="Courier New"/>
          <w:b w:val="1"/>
          <w:bCs w:val="1"/>
        </w:rPr>
      </w:pP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rPr>
        <w:t>...///3.-</w:t>
      </w:r>
    </w:p>
    <w:p>
      <w:pPr>
        <w:ind w:hanging="12" w:left="720"/>
        <w:jc w:val="both"/>
        <w:rPr>
          <w:rFonts w:ascii="Courier New" w:hAnsi="Courier New"/>
        </w:rPr>
      </w:pPr>
    </w:p>
    <w:p>
      <w:pPr>
        <w:ind w:hanging="12" w:left="720"/>
        <w:jc w:val="both"/>
        <w:rPr>
          <w:rFonts w:ascii="Courier New" w:hAnsi="Courier New"/>
        </w:rPr>
      </w:pPr>
    </w:p>
    <w:p>
      <w:pPr>
        <w:ind w:hanging="12" w:left="720"/>
        <w:jc w:val="both"/>
        <w:rPr>
          <w:rFonts w:ascii="Courier New" w:hAnsi="Courier New"/>
        </w:rPr>
      </w:pPr>
      <w:r>
        <w:rPr>
          <w:rFonts w:ascii="Courier New" w:hAnsi="Courier New"/>
        </w:rPr>
        <w:t>esta Ordenanza, con los recursos del Municipio provenientes de otras fuentes que no sean la coparticipación en los impuestos provinciales.-</w:t>
      </w: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w:t>
      </w:r>
      <w:r>
        <w:rPr>
          <w:rFonts w:ascii="Courier New" w:hAnsi="Courier New"/>
          <w:b w:val="1"/>
          <w:bCs w:val="1"/>
          <w:u w:val="single"/>
        </w:rPr>
        <w:t>rt</w:t>
      </w:r>
      <w:r>
        <w:rPr>
          <w:rFonts w:ascii="Courier New" w:hAnsi="Courier New"/>
          <w:b w:val="1"/>
          <w:bCs w:val="1"/>
          <w:u w:val="single"/>
        </w:rPr>
        <w:t>.6</w:t>
      </w:r>
      <w:r>
        <w:rPr>
          <w:rFonts w:ascii="Courier New" w:hAnsi="Courier New"/>
          <w:b w:val="1"/>
          <w:bCs w:val="1"/>
        </w:rPr>
        <w:t>:</w:t>
      </w:r>
      <w:r>
        <w:rPr>
          <w:rFonts w:ascii="Courier New" w:hAnsi="Courier New"/>
          <w:b w:val="1"/>
          <w:bCs w:val="1"/>
        </w:rPr>
        <w:t xml:space="preserve"> </w:t>
      </w:r>
      <w:r>
        <w:rPr>
          <w:rFonts w:ascii="Courier New" w:hAnsi="Courier New"/>
          <w:b w:val="1"/>
          <w:bCs w:val="1"/>
        </w:rPr>
        <w:t>IMPONESE</w:t>
      </w:r>
      <w:r>
        <w:rPr>
          <w:rFonts w:ascii="Courier New" w:hAnsi="Courier New"/>
        </w:rPr>
        <w:t xml:space="preserve"> al Departamento Ejecutivo la obligación de informar a este Honorable Concejo Deliberante, de la rendición de cuentas documentada de los fondos tomados en ejercicio de la facultad que se le confiere por el articulo 2º de esta Ordenanza, efectuada al Fondo Permanente para la Financiación de Proyectos y Programas de los Gobiernos Locales de la Provincia de Córdoba.-</w:t>
      </w: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w:t>
      </w:r>
      <w:r>
        <w:rPr>
          <w:rFonts w:ascii="Courier New" w:hAnsi="Courier New"/>
          <w:b w:val="1"/>
          <w:bCs w:val="1"/>
          <w:u w:val="single"/>
        </w:rPr>
        <w:t>7</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6"/>
        <w:rPr>
          <w:rFonts w:ascii="Courier New" w:hAnsi="Courier New"/>
        </w:rPr>
      </w:pPr>
      <w:r>
        <w:rPr>
          <w:rFonts w:ascii="Courier New" w:hAnsi="Courier New"/>
        </w:rPr>
        <w:t xml:space="preserve">DADA EN LA SALA DE SESIONES DEL HONORABLE CONCEJO DELIBERANTE DE LA CIUDAD DE ALTA GRACIA A LOS DIECIESIETE                DÍAS DEL MES DE SEPTIEMBRE DEL AÑO DOS MIL OCHO.-</w:t>
      </w: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6"/>
        <w:rPr>
          <w:rFonts w:ascii="Courier New" w:hAnsi="Courier New"/>
          <w:b w:val="1"/>
          <w:bCs w:val="1"/>
        </w:rPr>
      </w:pPr>
      <w:r>
        <w:rPr>
          <w:rFonts w:ascii="Courier New" w:hAnsi="Courier New"/>
          <w:b w:val="0"/>
          <w:bCs w:val="0"/>
        </w:rPr>
        <w:t>...///</w:t>
      </w:r>
      <w:r>
        <w:rPr>
          <w:rFonts w:ascii="Courier New" w:hAnsi="Courier New"/>
          <w:b w:val="0"/>
          <w:bCs w:val="0"/>
        </w:rPr>
        <w:t>4.-</w:t>
      </w:r>
    </w:p>
    <w:p>
      <w:pPr>
        <w:pStyle w:val="P6"/>
        <w:rPr>
          <w:rFonts w:ascii="Courier New" w:hAnsi="Courier New"/>
          <w:b w:val="1"/>
          <w:bCs w:val="1"/>
        </w:rPr>
      </w:pPr>
    </w:p>
    <w:p>
      <w:pPr>
        <w:pStyle w:val="P6"/>
        <w:rPr>
          <w:rFonts w:ascii="Courier New" w:hAnsi="Courier New"/>
          <w:b w:val="1"/>
          <w:bCs w:val="1"/>
        </w:rPr>
      </w:pPr>
    </w:p>
    <w:p>
      <w:pPr>
        <w:pStyle w:val="P6"/>
        <w:rPr>
          <w:rFonts w:ascii="Courier New" w:hAnsi="Courier New"/>
          <w:b w:val="1"/>
          <w:bCs w:val="1"/>
        </w:rPr>
      </w:pPr>
    </w:p>
    <w:p>
      <w:pPr>
        <w:pStyle w:val="P6"/>
        <w:jc w:val="center"/>
        <w:rPr>
          <w:rFonts w:ascii="Courier New" w:hAnsi="Courier New"/>
          <w:u w:val="single"/>
        </w:rPr>
      </w:pPr>
      <w:r>
        <w:rPr>
          <w:rFonts w:ascii="Courier New" w:hAnsi="Courier New"/>
          <w:u w:val="single"/>
        </w:rPr>
        <w:t>ANEXO 1</w:t>
      </w:r>
    </w:p>
    <w:p>
      <w:pPr>
        <w:pStyle w:val="P6"/>
        <w:jc w:val="center"/>
        <w:rPr>
          <w:rFonts w:ascii="Courier New" w:hAnsi="Courier New"/>
          <w:u w:val="single"/>
        </w:rPr>
      </w:pPr>
    </w:p>
    <w:p>
      <w:pPr>
        <w:pStyle w:val="P6"/>
        <w:jc w:val="center"/>
        <w:rPr>
          <w:rFonts w:ascii="Courier New" w:hAnsi="Courier New"/>
          <w:u w:val="single"/>
        </w:rPr>
      </w:pPr>
    </w:p>
    <w:tbl>
      <w:tblPr>
        <w:tblLayout w:type="fixed"/>
        <w:tblCellMar>
          <w:top w:w="0" w:type="dxa"/>
          <w:left w:w="0" w:type="dxa"/>
          <w:bottom w:w="0" w:type="dxa"/>
          <w:right w:w="0" w:type="dxa"/>
        </w:tblCellMar>
      </w:tblPr>
      <w:tblGrid>
        <w:gridCol w:w="160"/>
        <w:gridCol w:w="1185"/>
        <w:gridCol w:w="7940"/>
        <w:gridCol w:w="1842"/>
      </w:tblGrid>
      <w:tr>
        <w:trPr>
          <w:trHeight w:hRule="atLeast" w:val="1002"/>
        </w:trPr>
        <w:tc>
          <w:tcPr>
            <w:tcW w:w="160" w:type="dxa"/>
            <w:tcBorders>
              <w:top w:val="nil"/>
              <w:left w:val="nil"/>
              <w:bottom w:val="nil"/>
              <w:right w:val="nil"/>
            </w:tcBorders>
            <w:shd w:val="clear" w:color="auto" w:fill="auto"/>
          </w:tcPr>
          <w:p>
            <w:pPr>
              <w:rPr>
                <w:rFonts w:ascii="Courier New" w:hAnsi="Courier New"/>
              </w:rPr>
            </w:pPr>
          </w:p>
        </w:tc>
        <w:tc>
          <w:tcPr>
            <w:tcW w:w="1185" w:type="dxa"/>
            <w:tcBorders>
              <w:top w:val="double" w:sz="2" w:space="0" w:shadow="0" w:frame="0"/>
              <w:left w:val="double" w:sz="2" w:space="0" w:shadow="0" w:frame="0"/>
              <w:bottom w:val="nil"/>
              <w:right w:val="double" w:sz="2" w:space="0" w:shadow="0" w:frame="0"/>
            </w:tcBorders>
            <w:shd w:val="clear" w:color="auto" w:fill="FFFF00"/>
          </w:tcPr>
          <w:p>
            <w:pPr>
              <w:rPr>
                <w:rFonts w:ascii="Courier New" w:hAnsi="Courier New"/>
              </w:rPr>
            </w:pPr>
            <w:r>
              <w:rPr>
                <w:rFonts w:ascii="Courier New" w:hAnsi="Courier New"/>
              </w:rPr>
              <w:t>CANTIDAD</w:t>
            </w:r>
          </w:p>
        </w:tc>
        <w:tc>
          <w:tcPr>
            <w:tcW w:w="7940" w:type="dxa"/>
            <w:tcBorders>
              <w:top w:val="double" w:sz="2" w:space="0" w:shadow="0" w:frame="0"/>
              <w:left w:val="nil"/>
              <w:bottom w:val="nil"/>
              <w:right w:val="double" w:sz="2" w:space="0" w:shadow="0" w:frame="0"/>
            </w:tcBorders>
            <w:shd w:val="clear" w:color="auto" w:fill="FFFF00"/>
          </w:tcPr>
          <w:p>
            <w:pPr>
              <w:rPr>
                <w:rFonts w:ascii="Courier New" w:hAnsi="Courier New"/>
              </w:rPr>
            </w:pPr>
            <w:r>
              <w:rPr>
                <w:rFonts w:ascii="Courier New" w:hAnsi="Courier New"/>
              </w:rPr>
              <w:t>DESCRIPCIÓN</w:t>
            </w:r>
          </w:p>
        </w:tc>
        <w:tc>
          <w:tcPr>
            <w:tcW w:w="1842" w:type="dxa"/>
            <w:tcBorders>
              <w:top w:val="double" w:sz="2" w:space="0" w:shadow="0" w:frame="0"/>
              <w:left w:val="nil"/>
              <w:bottom w:val="nil"/>
              <w:right w:val="double" w:sz="2" w:space="0" w:shadow="0" w:frame="0"/>
            </w:tcBorders>
            <w:shd w:val="clear" w:color="auto" w:fill="FFFF00"/>
          </w:tcPr>
          <w:p>
            <w:pPr>
              <w:rPr>
                <w:rFonts w:ascii="Courier New" w:hAnsi="Courier New"/>
              </w:rPr>
            </w:pPr>
            <w:r>
              <w:rPr>
                <w:rFonts w:ascii="Courier New" w:hAnsi="Courier New"/>
              </w:rPr>
              <w:t>PRECIO ESTIMADO</w:t>
            </w:r>
          </w:p>
        </w:tc>
      </w:tr>
      <w:tr>
        <w:tblPrEx>
          <w:tblLayout w:type="fixed"/>
        </w:tblPrEx>
        <w:trPr>
          <w:trHeight w:hRule="atLeast" w:val="499"/>
        </w:trPr>
        <w:tc>
          <w:tcPr>
            <w:tcW w:w="160" w:type="dxa"/>
            <w:tcBorders>
              <w:top w:val="nil"/>
              <w:left w:val="nil"/>
              <w:bottom w:val="nil"/>
              <w:right w:val="nil"/>
            </w:tcBorders>
          </w:tcPr>
          <w:p>
            <w:pPr>
              <w:rPr>
                <w:rFonts w:ascii="Courier New" w:hAnsi="Courier New"/>
              </w:rPr>
            </w:pPr>
          </w:p>
        </w:tc>
        <w:tc>
          <w:tcPr>
            <w:tcW w:w="1185" w:type="dxa"/>
            <w:tcBorders>
              <w:top w:val="double" w:sz="2" w:space="0" w:shadow="0" w:frame="0"/>
              <w:left w:val="double" w:sz="2" w:space="0" w:shadow="0" w:frame="0"/>
              <w:bottom w:val="single" w:sz="1" w:space="0" w:shadow="0" w:frame="0"/>
              <w:right w:val="double" w:sz="2" w:space="0" w:shadow="0" w:frame="0"/>
            </w:tcBorders>
          </w:tcPr>
          <w:p>
            <w:pPr>
              <w:rPr>
                <w:rFonts w:ascii="Courier New" w:hAnsi="Courier New"/>
              </w:rPr>
            </w:pPr>
            <w:r>
              <w:rPr>
                <w:rFonts w:ascii="Courier New" w:hAnsi="Courier New"/>
              </w:rPr>
              <w:t>Uno (01)</w:t>
            </w:r>
          </w:p>
        </w:tc>
        <w:tc>
          <w:tcPr>
            <w:tcW w:w="7940" w:type="dxa"/>
            <w:tcBorders>
              <w:top w:val="double" w:sz="2" w:space="0" w:shadow="0" w:frame="0"/>
              <w:left w:val="nil"/>
              <w:bottom w:val="single" w:sz="1" w:space="0" w:shadow="0" w:frame="0"/>
              <w:right w:val="double" w:sz="2" w:space="0" w:shadow="0" w:frame="0"/>
            </w:tcBorders>
          </w:tcPr>
          <w:p>
            <w:pPr>
              <w:rPr>
                <w:rFonts w:ascii="Courier New" w:hAnsi="Courier New"/>
              </w:rPr>
            </w:pPr>
            <w:r>
              <w:rPr>
                <w:rFonts w:ascii="Courier New" w:hAnsi="Courier New"/>
              </w:rPr>
              <w:t>Tractor de 60 HP con levante hidraúlico de tres puntos.</w:t>
            </w:r>
          </w:p>
        </w:tc>
        <w:tc>
          <w:tcPr>
            <w:tcW w:w="1842" w:type="dxa"/>
            <w:tcBorders>
              <w:top w:val="double" w:sz="2" w:space="0" w:shadow="0" w:frame="0"/>
              <w:left w:val="nil"/>
              <w:bottom w:val="single" w:sz="1" w:space="0" w:shadow="0" w:frame="0"/>
              <w:right w:val="double" w:sz="2" w:space="0" w:shadow="0" w:frame="0"/>
            </w:tcBorders>
          </w:tcPr>
          <w:p>
            <w:pPr>
              <w:rPr>
                <w:rFonts w:ascii="Courier New" w:hAnsi="Courier New"/>
              </w:rPr>
            </w:pPr>
            <w:r>
              <w:rPr>
                <w:rFonts w:ascii="Courier New" w:hAnsi="Courier New"/>
              </w:rPr>
              <w:t>$ 100,000.00</w:t>
            </w:r>
          </w:p>
        </w:tc>
      </w:tr>
      <w:tr>
        <w:tblPrEx>
          <w:tblLayout w:type="fixed"/>
        </w:tblPrEx>
        <w:trPr>
          <w:trHeight w:hRule="atLeast" w:val="499"/>
        </w:trPr>
        <w:tc>
          <w:tcPr>
            <w:tcW w:w="160" w:type="dxa"/>
            <w:tcBorders>
              <w:top w:val="nil"/>
              <w:left w:val="nil"/>
              <w:bottom w:val="nil"/>
              <w:right w:val="nil"/>
            </w:tcBorders>
          </w:tcPr>
          <w:p>
            <w:pPr>
              <w:rPr>
                <w:rFonts w:ascii="Courier New" w:hAnsi="Courier New"/>
              </w:rPr>
            </w:pPr>
          </w:p>
        </w:tc>
        <w:tc>
          <w:tcPr>
            <w:tcW w:w="1185" w:type="dxa"/>
            <w:tcBorders>
              <w:top w:val="nil"/>
              <w:left w:val="double" w:sz="2" w:space="0" w:shadow="0" w:frame="0"/>
              <w:bottom w:val="single" w:sz="1" w:space="0" w:shadow="0" w:frame="0"/>
              <w:right w:val="double" w:sz="2" w:space="0" w:shadow="0" w:frame="0"/>
            </w:tcBorders>
          </w:tcPr>
          <w:p>
            <w:pPr>
              <w:rPr>
                <w:rFonts w:ascii="Courier New" w:hAnsi="Courier New"/>
              </w:rPr>
            </w:pPr>
            <w:r>
              <w:rPr>
                <w:rFonts w:ascii="Courier New" w:hAnsi="Courier New"/>
              </w:rPr>
              <w:t>Una (01)</w:t>
            </w:r>
          </w:p>
        </w:tc>
        <w:tc>
          <w:tcPr>
            <w:tcW w:w="7940"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 xml:space="preserve">Desmalezadora p/levante de tres puntos, ancho de corte mín. 2 m., máx. 3 m. </w:t>
            </w:r>
          </w:p>
        </w:tc>
        <w:tc>
          <w:tcPr>
            <w:tcW w:w="1842"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$ 22,000.00</w:t>
            </w:r>
          </w:p>
        </w:tc>
      </w:tr>
      <w:tr>
        <w:tblPrEx>
          <w:tblLayout w:type="fixed"/>
        </w:tblPrEx>
        <w:trPr>
          <w:trHeight w:hRule="atLeast" w:val="499"/>
        </w:trPr>
        <w:tc>
          <w:tcPr>
            <w:tcW w:w="160" w:type="dxa"/>
            <w:tcBorders>
              <w:top w:val="nil"/>
              <w:left w:val="nil"/>
              <w:bottom w:val="nil"/>
              <w:right w:val="nil"/>
            </w:tcBorders>
          </w:tcPr>
          <w:p>
            <w:pPr>
              <w:rPr>
                <w:rFonts w:ascii="Courier New" w:hAnsi="Courier New"/>
              </w:rPr>
            </w:pPr>
          </w:p>
        </w:tc>
        <w:tc>
          <w:tcPr>
            <w:tcW w:w="1185" w:type="dxa"/>
            <w:tcBorders>
              <w:top w:val="nil"/>
              <w:left w:val="double" w:sz="2" w:space="0" w:shadow="0" w:frame="0"/>
              <w:bottom w:val="nil"/>
              <w:right w:val="double" w:sz="2" w:space="0" w:shadow="0" w:frame="0"/>
            </w:tcBorders>
          </w:tcPr>
          <w:p>
            <w:pPr>
              <w:rPr>
                <w:rFonts w:ascii="Courier New" w:hAnsi="Courier New"/>
              </w:rPr>
            </w:pPr>
            <w:r>
              <w:rPr>
                <w:rFonts w:ascii="Courier New" w:hAnsi="Courier New"/>
              </w:rPr>
              <w:t>Una (01)</w:t>
            </w:r>
          </w:p>
        </w:tc>
        <w:tc>
          <w:tcPr>
            <w:tcW w:w="7940"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Máquina demarcadora vial por extrusión de aplicación en caliente.</w:t>
            </w:r>
          </w:p>
        </w:tc>
        <w:tc>
          <w:tcPr>
            <w:tcW w:w="1842"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$ 50,000.00</w:t>
            </w:r>
          </w:p>
        </w:tc>
      </w:tr>
      <w:tr>
        <w:tblPrEx>
          <w:tblLayout w:type="fixed"/>
        </w:tblPrEx>
        <w:trPr>
          <w:trHeight w:hRule="atLeast" w:val="499"/>
        </w:trPr>
        <w:tc>
          <w:tcPr>
            <w:tcW w:w="160" w:type="dxa"/>
            <w:tcBorders>
              <w:top w:val="nil"/>
              <w:left w:val="nil"/>
              <w:bottom w:val="nil"/>
              <w:right w:val="nil"/>
            </w:tcBorders>
          </w:tcPr>
          <w:p>
            <w:pPr>
              <w:rPr>
                <w:rFonts w:ascii="Courier New" w:hAnsi="Courier New"/>
              </w:rPr>
            </w:pPr>
          </w:p>
        </w:tc>
        <w:tc>
          <w:tcPr>
            <w:tcW w:w="1185" w:type="dxa"/>
            <w:tcBorders>
              <w:top w:val="single" w:sz="1" w:space="0" w:shadow="0" w:frame="0"/>
              <w:left w:val="double" w:sz="2" w:space="0" w:shadow="0" w:frame="0"/>
              <w:bottom w:val="single" w:sz="1" w:space="0" w:shadow="0" w:frame="0"/>
              <w:right w:val="double" w:sz="2" w:space="0" w:shadow="0" w:frame="0"/>
            </w:tcBorders>
          </w:tcPr>
          <w:p>
            <w:pPr>
              <w:rPr>
                <w:rFonts w:ascii="Courier New" w:hAnsi="Courier New"/>
              </w:rPr>
            </w:pPr>
            <w:r>
              <w:rPr>
                <w:rFonts w:ascii="Courier New" w:hAnsi="Courier New"/>
              </w:rPr>
              <w:t>Uno (01)</w:t>
            </w:r>
          </w:p>
        </w:tc>
        <w:tc>
          <w:tcPr>
            <w:tcW w:w="7940"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Camión semi-pesado, potencia mín. 225 CV a 2200 rpm, Cap.tracción mín. 35.000 kg.</w:t>
            </w:r>
          </w:p>
        </w:tc>
        <w:tc>
          <w:tcPr>
            <w:tcW w:w="1842"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$ 250,000.00</w:t>
            </w:r>
          </w:p>
        </w:tc>
      </w:tr>
      <w:tr>
        <w:tblPrEx>
          <w:tblLayout w:type="fixed"/>
        </w:tblPrEx>
        <w:trPr>
          <w:trHeight w:hRule="atLeast" w:val="499"/>
        </w:trPr>
        <w:tc>
          <w:tcPr>
            <w:tcW w:w="160" w:type="dxa"/>
            <w:tcBorders>
              <w:top w:val="nil"/>
              <w:left w:val="nil"/>
              <w:bottom w:val="nil"/>
              <w:right w:val="nil"/>
            </w:tcBorders>
          </w:tcPr>
          <w:p>
            <w:pPr>
              <w:rPr>
                <w:rFonts w:ascii="Courier New" w:hAnsi="Courier New"/>
              </w:rPr>
            </w:pPr>
          </w:p>
        </w:tc>
        <w:tc>
          <w:tcPr>
            <w:tcW w:w="1185" w:type="dxa"/>
            <w:tcBorders>
              <w:top w:val="nil"/>
              <w:left w:val="double" w:sz="2" w:space="0" w:shadow="0" w:frame="0"/>
              <w:bottom w:val="nil"/>
              <w:right w:val="double" w:sz="2" w:space="0" w:shadow="0" w:frame="0"/>
            </w:tcBorders>
          </w:tcPr>
          <w:p>
            <w:pPr>
              <w:rPr>
                <w:rFonts w:ascii="Courier New" w:hAnsi="Courier New"/>
              </w:rPr>
            </w:pPr>
            <w:r>
              <w:rPr>
                <w:rFonts w:ascii="Courier New" w:hAnsi="Courier New"/>
              </w:rPr>
              <w:t>Uno (01)</w:t>
            </w:r>
          </w:p>
        </w:tc>
        <w:tc>
          <w:tcPr>
            <w:tcW w:w="7940"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Semi-remolque batea 3 ejes.</w:t>
            </w:r>
          </w:p>
        </w:tc>
        <w:tc>
          <w:tcPr>
            <w:tcW w:w="1842"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$ 123,000.00</w:t>
            </w:r>
          </w:p>
        </w:tc>
      </w:tr>
      <w:tr>
        <w:tblPrEx>
          <w:tblLayout w:type="fixed"/>
        </w:tblPrEx>
        <w:trPr>
          <w:trHeight w:hRule="atLeast" w:val="499"/>
        </w:trPr>
        <w:tc>
          <w:tcPr>
            <w:tcW w:w="160" w:type="dxa"/>
            <w:tcBorders>
              <w:top w:val="nil"/>
              <w:left w:val="nil"/>
              <w:bottom w:val="nil"/>
              <w:right w:val="nil"/>
            </w:tcBorders>
          </w:tcPr>
          <w:p>
            <w:pPr>
              <w:rPr>
                <w:rFonts w:ascii="Courier New" w:hAnsi="Courier New"/>
              </w:rPr>
            </w:pPr>
          </w:p>
        </w:tc>
        <w:tc>
          <w:tcPr>
            <w:tcW w:w="1185" w:type="dxa"/>
            <w:tcBorders>
              <w:top w:val="single" w:sz="1" w:space="0" w:shadow="0" w:frame="0"/>
              <w:left w:val="double" w:sz="2" w:space="0" w:shadow="0" w:frame="0"/>
              <w:bottom w:val="single" w:sz="1" w:space="0" w:shadow="0" w:frame="0"/>
              <w:right w:val="double" w:sz="2" w:space="0" w:shadow="0" w:frame="0"/>
            </w:tcBorders>
          </w:tcPr>
          <w:p>
            <w:pPr>
              <w:rPr>
                <w:rFonts w:ascii="Courier New" w:hAnsi="Courier New"/>
              </w:rPr>
            </w:pPr>
            <w:r>
              <w:rPr>
                <w:rFonts w:ascii="Courier New" w:hAnsi="Courier New"/>
              </w:rPr>
              <w:t>Dos (02)</w:t>
            </w:r>
          </w:p>
        </w:tc>
        <w:tc>
          <w:tcPr>
            <w:tcW w:w="7940"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Camión mediano, potencia mín. 170 CV a 2200 rpm, Cap.carga mín. 13.000 kg.</w:t>
            </w:r>
          </w:p>
        </w:tc>
        <w:tc>
          <w:tcPr>
            <w:tcW w:w="1842"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$ 360,000.00</w:t>
            </w:r>
          </w:p>
        </w:tc>
      </w:tr>
      <w:tr>
        <w:tblPrEx>
          <w:tblLayout w:type="fixed"/>
        </w:tblPrEx>
        <w:trPr>
          <w:trHeight w:hRule="atLeast" w:val="499"/>
        </w:trPr>
        <w:tc>
          <w:tcPr>
            <w:tcW w:w="160" w:type="dxa"/>
            <w:tcBorders>
              <w:top w:val="nil"/>
              <w:left w:val="nil"/>
              <w:bottom w:val="nil"/>
              <w:right w:val="nil"/>
            </w:tcBorders>
          </w:tcPr>
          <w:p>
            <w:pPr>
              <w:rPr>
                <w:rFonts w:ascii="Courier New" w:hAnsi="Courier New"/>
              </w:rPr>
            </w:pPr>
          </w:p>
        </w:tc>
        <w:tc>
          <w:tcPr>
            <w:tcW w:w="1185" w:type="dxa"/>
            <w:tcBorders>
              <w:top w:val="nil"/>
              <w:left w:val="double" w:sz="2" w:space="0" w:shadow="0" w:frame="0"/>
              <w:bottom w:val="single" w:sz="1" w:space="0" w:shadow="0" w:frame="0"/>
              <w:right w:val="double" w:sz="2" w:space="0" w:shadow="0" w:frame="0"/>
            </w:tcBorders>
          </w:tcPr>
          <w:p>
            <w:pPr>
              <w:rPr>
                <w:rFonts w:ascii="Courier New" w:hAnsi="Courier New"/>
              </w:rPr>
            </w:pPr>
            <w:r>
              <w:rPr>
                <w:rFonts w:ascii="Courier New" w:hAnsi="Courier New"/>
              </w:rPr>
              <w:t>Dos (02)</w:t>
            </w:r>
          </w:p>
        </w:tc>
        <w:tc>
          <w:tcPr>
            <w:tcW w:w="7940"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Carrocería vuelco trasero.</w:t>
            </w:r>
          </w:p>
        </w:tc>
        <w:tc>
          <w:tcPr>
            <w:tcW w:w="1842"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$ 60,000.00</w:t>
            </w:r>
          </w:p>
        </w:tc>
      </w:tr>
      <w:tr>
        <w:tblPrEx>
          <w:tblLayout w:type="fixed"/>
        </w:tblPrEx>
        <w:trPr>
          <w:trHeight w:hRule="atLeast" w:val="499"/>
        </w:trPr>
        <w:tc>
          <w:tcPr>
            <w:tcW w:w="160" w:type="dxa"/>
            <w:tcBorders>
              <w:top w:val="nil"/>
              <w:left w:val="nil"/>
              <w:bottom w:val="nil"/>
              <w:right w:val="nil"/>
            </w:tcBorders>
          </w:tcPr>
          <w:p>
            <w:pPr>
              <w:rPr>
                <w:rFonts w:ascii="Courier New" w:hAnsi="Courier New"/>
              </w:rPr>
            </w:pPr>
          </w:p>
        </w:tc>
        <w:tc>
          <w:tcPr>
            <w:tcW w:w="1185" w:type="dxa"/>
            <w:tcBorders>
              <w:top w:val="nil"/>
              <w:left w:val="double" w:sz="2" w:space="0" w:shadow="0" w:frame="0"/>
              <w:bottom w:val="nil"/>
              <w:right w:val="double" w:sz="2" w:space="0" w:shadow="0" w:frame="0"/>
            </w:tcBorders>
          </w:tcPr>
          <w:p>
            <w:pPr>
              <w:rPr>
                <w:rFonts w:ascii="Courier New" w:hAnsi="Courier New"/>
              </w:rPr>
            </w:pPr>
            <w:r>
              <w:rPr>
                <w:rFonts w:ascii="Courier New" w:hAnsi="Courier New"/>
              </w:rPr>
              <w:t>Uno (01)</w:t>
            </w:r>
          </w:p>
        </w:tc>
        <w:tc>
          <w:tcPr>
            <w:tcW w:w="7940"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Vehículo utilitario cerrado para unidad de traslado.</w:t>
            </w:r>
          </w:p>
        </w:tc>
        <w:tc>
          <w:tcPr>
            <w:tcW w:w="1842"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$ 100,000.00</w:t>
            </w:r>
          </w:p>
        </w:tc>
      </w:tr>
      <w:tr>
        <w:tblPrEx>
          <w:tblLayout w:type="fixed"/>
        </w:tblPrEx>
        <w:trPr>
          <w:trHeight w:hRule="atLeast" w:val="499"/>
        </w:trPr>
        <w:tc>
          <w:tcPr>
            <w:tcW w:w="160" w:type="dxa"/>
            <w:tcBorders>
              <w:top w:val="nil"/>
              <w:left w:val="nil"/>
              <w:bottom w:val="nil"/>
              <w:right w:val="nil"/>
            </w:tcBorders>
          </w:tcPr>
          <w:p>
            <w:pPr>
              <w:rPr>
                <w:rFonts w:ascii="Courier New" w:hAnsi="Courier New"/>
              </w:rPr>
            </w:pPr>
          </w:p>
        </w:tc>
        <w:tc>
          <w:tcPr>
            <w:tcW w:w="1185" w:type="dxa"/>
            <w:tcBorders>
              <w:top w:val="single" w:sz="1" w:space="0" w:shadow="0" w:frame="0"/>
              <w:left w:val="double" w:sz="2" w:space="0" w:shadow="0" w:frame="0"/>
              <w:bottom w:val="single" w:sz="1" w:space="0" w:shadow="0" w:frame="0"/>
              <w:right w:val="double" w:sz="2" w:space="0" w:shadow="0" w:frame="0"/>
            </w:tcBorders>
          </w:tcPr>
          <w:p>
            <w:pPr>
              <w:rPr>
                <w:rFonts w:ascii="Courier New" w:hAnsi="Courier New"/>
              </w:rPr>
            </w:pPr>
            <w:r>
              <w:rPr>
                <w:rFonts w:ascii="Courier New" w:hAnsi="Courier New"/>
              </w:rPr>
              <w:t>Uno (01)</w:t>
            </w:r>
          </w:p>
        </w:tc>
        <w:tc>
          <w:tcPr>
            <w:tcW w:w="7940"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Vehículo liviano cerrado tipo furgón 5 plazas.</w:t>
            </w:r>
          </w:p>
        </w:tc>
        <w:tc>
          <w:tcPr>
            <w:tcW w:w="1842"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$ 63,000.00</w:t>
            </w:r>
          </w:p>
        </w:tc>
      </w:tr>
      <w:tr>
        <w:tblPrEx>
          <w:tblLayout w:type="fixed"/>
        </w:tblPrEx>
        <w:trPr>
          <w:trHeight w:hRule="atLeast" w:val="499"/>
        </w:trPr>
        <w:tc>
          <w:tcPr>
            <w:tcW w:w="160" w:type="dxa"/>
            <w:tcBorders>
              <w:top w:val="nil"/>
              <w:left w:val="nil"/>
              <w:bottom w:val="nil"/>
              <w:right w:val="nil"/>
            </w:tcBorders>
          </w:tcPr>
          <w:p>
            <w:pPr>
              <w:rPr>
                <w:rFonts w:ascii="Courier New" w:hAnsi="Courier New"/>
              </w:rPr>
            </w:pPr>
          </w:p>
        </w:tc>
        <w:tc>
          <w:tcPr>
            <w:tcW w:w="1185" w:type="dxa"/>
            <w:tcBorders>
              <w:top w:val="nil"/>
              <w:left w:val="double" w:sz="2" w:space="0" w:shadow="0" w:frame="0"/>
              <w:bottom w:val="single" w:sz="1" w:space="0" w:shadow="0" w:frame="0"/>
              <w:right w:val="double" w:sz="2" w:space="0" w:shadow="0" w:frame="0"/>
            </w:tcBorders>
          </w:tcPr>
          <w:p>
            <w:pPr>
              <w:rPr>
                <w:rFonts w:ascii="Courier New" w:hAnsi="Courier New"/>
              </w:rPr>
            </w:pPr>
            <w:r>
              <w:rPr>
                <w:rFonts w:ascii="Courier New" w:hAnsi="Courier New"/>
              </w:rPr>
              <w:t>Uno (01)</w:t>
            </w:r>
          </w:p>
        </w:tc>
        <w:tc>
          <w:tcPr>
            <w:tcW w:w="7940"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Vehículo utilitario liviano cerrado.</w:t>
            </w:r>
          </w:p>
        </w:tc>
        <w:tc>
          <w:tcPr>
            <w:tcW w:w="1842"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$ 58,000.00</w:t>
            </w:r>
          </w:p>
        </w:tc>
      </w:tr>
      <w:tr>
        <w:tblPrEx>
          <w:tblLayout w:type="fixed"/>
        </w:tblPrEx>
        <w:trPr>
          <w:trHeight w:hRule="atLeast" w:val="499"/>
        </w:trPr>
        <w:tc>
          <w:tcPr>
            <w:tcW w:w="160" w:type="dxa"/>
            <w:tcBorders>
              <w:top w:val="nil"/>
              <w:left w:val="nil"/>
              <w:bottom w:val="nil"/>
              <w:right w:val="nil"/>
            </w:tcBorders>
          </w:tcPr>
          <w:p>
            <w:pPr>
              <w:rPr>
                <w:rFonts w:ascii="Courier New" w:hAnsi="Courier New"/>
              </w:rPr>
            </w:pPr>
          </w:p>
        </w:tc>
        <w:tc>
          <w:tcPr>
            <w:tcW w:w="1185" w:type="dxa"/>
            <w:tcBorders>
              <w:top w:val="nil"/>
              <w:left w:val="double" w:sz="2" w:space="0" w:shadow="0" w:frame="0"/>
              <w:bottom w:val="single" w:sz="1" w:space="0" w:shadow="0" w:frame="0"/>
              <w:right w:val="double" w:sz="2" w:space="0" w:shadow="0" w:frame="0"/>
            </w:tcBorders>
          </w:tcPr>
          <w:p>
            <w:pPr>
              <w:rPr>
                <w:rFonts w:ascii="Courier New" w:hAnsi="Courier New"/>
              </w:rPr>
            </w:pPr>
            <w:r>
              <w:rPr>
                <w:rFonts w:ascii="Courier New" w:hAnsi="Courier New"/>
              </w:rPr>
              <w:t>Uno (01)</w:t>
            </w:r>
          </w:p>
        </w:tc>
        <w:tc>
          <w:tcPr>
            <w:tcW w:w="7940"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Tractor desmalezador de 24 HP de 48 pulgadas de corte.</w:t>
            </w:r>
          </w:p>
        </w:tc>
        <w:tc>
          <w:tcPr>
            <w:tcW w:w="1842" w:type="dxa"/>
            <w:tcBorders>
              <w:top w:val="nil"/>
              <w:left w:val="nil"/>
              <w:bottom w:val="single" w:sz="1" w:space="0" w:shadow="0" w:frame="0"/>
              <w:right w:val="double" w:sz="2" w:space="0" w:shadow="0" w:frame="0"/>
            </w:tcBorders>
          </w:tcPr>
          <w:p>
            <w:pPr>
              <w:rPr>
                <w:rFonts w:ascii="Courier New" w:hAnsi="Courier New"/>
              </w:rPr>
            </w:pPr>
            <w:r>
              <w:rPr>
                <w:rFonts w:ascii="Courier New" w:hAnsi="Courier New"/>
              </w:rPr>
              <w:t>$ 14,000.00</w:t>
            </w:r>
          </w:p>
        </w:tc>
      </w:tr>
      <w:tr>
        <w:tblPrEx>
          <w:tblLayout w:type="fixed"/>
        </w:tblPrEx>
        <w:trPr>
          <w:trHeight w:hRule="atLeast" w:val="499"/>
        </w:trPr>
        <w:tc>
          <w:tcPr>
            <w:tcW w:w="160" w:type="dxa"/>
            <w:tcBorders>
              <w:top w:val="nil"/>
              <w:left w:val="nil"/>
              <w:bottom w:val="nil"/>
              <w:right w:val="nil"/>
            </w:tcBorders>
            <w:shd w:val="clear" w:color="auto" w:fill="auto"/>
          </w:tcPr>
          <w:p>
            <w:pPr>
              <w:rPr>
                <w:rFonts w:ascii="Courier New" w:hAnsi="Courier New"/>
              </w:rPr>
            </w:pPr>
          </w:p>
        </w:tc>
        <w:tc>
          <w:tcPr>
            <w:tcW w:w="1185" w:type="dxa"/>
            <w:tcBorders>
              <w:top w:val="double" w:sz="2" w:space="0" w:shadow="0" w:frame="0"/>
              <w:left w:val="double" w:sz="2" w:space="0" w:shadow="0" w:frame="0"/>
              <w:bottom w:val="double" w:sz="2" w:space="0" w:shadow="0" w:frame="0"/>
              <w:right w:val="double" w:sz="2" w:space="0" w:shadow="0" w:frame="0"/>
            </w:tcBorders>
            <w:shd w:val="clear" w:color="auto" w:fill="FFFF00"/>
          </w:tcPr>
          <w:p>
            <w:pPr>
              <w:rPr>
                <w:rFonts w:ascii="Courier New" w:hAnsi="Courier New"/>
              </w:rPr>
            </w:pPr>
            <w:r>
              <w:rPr>
                <w:rFonts w:ascii="Courier New" w:hAnsi="Courier New"/>
              </w:rPr>
              <w:t>Trece (13)</w:t>
            </w:r>
          </w:p>
        </w:tc>
        <w:tc>
          <w:tcPr>
            <w:tcW w:w="7940" w:type="dxa"/>
            <w:tcBorders>
              <w:top w:val="double" w:sz="2" w:space="0" w:shadow="0" w:frame="0"/>
              <w:left w:val="nil"/>
              <w:bottom w:val="double" w:sz="2" w:space="0" w:shadow="0" w:frame="0"/>
              <w:right w:val="double" w:sz="2" w:space="0" w:shadow="0" w:frame="0"/>
            </w:tcBorders>
            <w:shd w:val="clear" w:color="auto" w:fill="FFFF00"/>
          </w:tcPr>
          <w:p>
            <w:pPr>
              <w:rPr>
                <w:rFonts w:ascii="Courier New" w:hAnsi="Courier New"/>
              </w:rPr>
            </w:pPr>
            <w:r>
              <w:rPr>
                <w:rFonts w:ascii="Courier New" w:hAnsi="Courier New"/>
              </w:rPr>
              <w:t xml:space="preserve">T  O  T  A  L  E  S</w:t>
            </w:r>
          </w:p>
        </w:tc>
        <w:tc>
          <w:tcPr>
            <w:tcW w:w="1842" w:type="dxa"/>
            <w:tcBorders>
              <w:top w:val="double" w:sz="2" w:space="0" w:shadow="0" w:frame="0"/>
              <w:left w:val="nil"/>
              <w:bottom w:val="double" w:sz="2" w:space="0" w:shadow="0" w:frame="0"/>
              <w:right w:val="double" w:sz="2" w:space="0" w:shadow="0" w:frame="0"/>
            </w:tcBorders>
            <w:shd w:val="clear" w:color="auto" w:fill="FFFF00"/>
          </w:tcPr>
          <w:p>
            <w:pPr>
              <w:rPr>
                <w:rFonts w:ascii="Courier New" w:hAnsi="Courier New"/>
              </w:rPr>
            </w:pPr>
            <w:r>
              <w:rPr>
                <w:rFonts w:ascii="Courier New" w:hAnsi="Courier New"/>
              </w:rPr>
              <w:t>$ 1,200,000.00</w:t>
            </w:r>
          </w:p>
        </w:tc>
      </w:tr>
    </w:tbl>
    <w:p>
      <w:pPr>
        <w:pStyle w:val="P6"/>
        <w:jc w:val="center"/>
        <w:rPr>
          <w:rFonts w:ascii="Courier New" w:hAnsi="Courier New"/>
          <w:u w:val="single"/>
        </w:rPr>
      </w:pPr>
    </w:p>
    <w:p>
      <w:pPr>
        <w:pStyle w:val="P6"/>
        <w:rPr>
          <w:rFonts w:ascii="Courier New" w:hAnsi="Courier New"/>
        </w:rPr>
      </w:pP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w:abstractNum w:abstractNumId="0">
    <w:nsid w:val="3CA127FC"/>
    <w:multiLevelType w:val="multilevel"/>
    <w:lvl w:ilvl="0">
      <w:start w:val="2"/>
      <w:numFmt w:val="decimal"/>
      <w:suff w:val="tab"/>
      <w:lvlText w:val="%1)"/>
      <w:lvlJc w:val="left"/>
      <w:pPr>
        <w:ind w:hanging="360" w:left="720"/>
        <w:tabs>
          <w:tab w:val="num" w:pos="720" w:leader="none"/>
        </w:tabs>
      </w:pPr>
      <w:rPr>
        <w:sz w:val="28"/>
        <w:szCs w:val="28"/>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
    <w:nsid w:val="7F2A3E30"/>
    <w:multiLevelType w:val="multilevel"/>
    <w:lvl w:ilvl="0">
      <w:start w:val="1"/>
      <w:numFmt w:val="decimal"/>
      <w:suff w:val="tab"/>
      <w:lvlText w:val="%1)"/>
      <w:lvlJc w:val="left"/>
      <w:pPr>
        <w:ind w:hanging="360" w:left="360"/>
        <w:tabs>
          <w:tab w:val="num" w:pos="36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1"/>
  </w:num>
  <w:num w:numId="2">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Heading 3"/>
    <w:basedOn w:val="P0"/>
    <w:next w:val="P0"/>
    <w:pPr>
      <w:keepNext w:val="1"/>
      <w:jc w:val="center"/>
      <w:outlineLvl w:val="2"/>
    </w:pPr>
    <w:rPr>
      <w:rFonts w:ascii="Courier New" w:hAnsi="Courier New"/>
      <w:b w:val="1"/>
      <w:bCs w:val="1"/>
      <w:u w:val="single"/>
    </w:rPr>
  </w:style>
  <w:style w:type="paragraph" w:styleId="P4">
    <w:name w:val="Body Text Indent 2"/>
    <w:basedOn w:val="P0"/>
    <w:next w:val="P4"/>
    <w:pPr>
      <w:ind w:left="748"/>
      <w:jc w:val="both"/>
    </w:pPr>
    <w:rPr>
      <w:rFonts w:ascii="Courier New" w:hAnsi="Courier New"/>
    </w:rPr>
  </w:style>
  <w:style w:type="paragraph" w:styleId="P5">
    <w:name w:val="Body Text Indent"/>
    <w:basedOn w:val="P0"/>
    <w:next w:val="P5"/>
    <w:pPr>
      <w:ind w:left="720"/>
      <w:jc w:val="both"/>
    </w:pPr>
    <w:rPr>
      <w:rFonts w:ascii="Courier New" w:hAnsi="Courier New"/>
    </w:rPr>
  </w:style>
  <w:style w:type="paragraph" w:styleId="P6">
    <w:name w:val="Body Text 2"/>
    <w:basedOn w:val="P0"/>
    <w:next w:val="P6"/>
    <w:pPr>
      <w:jc w:val="both"/>
    </w:pPr>
    <w:rPr>
      <w:b w:val="1"/>
      <w:bCs w:val="1"/>
    </w:rPr>
  </w:style>
  <w:style w:type="paragraph" w:styleId="P7">
    <w:name w:val="Body Text"/>
    <w:basedOn w:val="P0"/>
    <w:next w:val="P7"/>
    <w:pPr>
      <w:jc w:val="both"/>
    </w:pPr>
    <w:rPr>
      <w:rFonts w:ascii="Courier New" w:hAnsi="Courier New"/>
    </w:rPr>
  </w:style>
  <w:style w:type="paragraph" w:styleId="P8">
    <w:name w:val="Body Text 3"/>
    <w:basedOn w:val="P0"/>
    <w:next w:val="P8"/>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2026-07-09T18:25:38Z</dcterms:created>
  <cp:lastModifiedBy>Federico Parisi</cp:lastModifiedBy>
  <cp:lastPrinted>2008-09-19T00:52:00Z</cp:lastPrinted>
  <dcterms:modified xsi:type="dcterms:W3CDTF">2026-07-09T18:25:38Z</dcterms:modified>
  <cp:revision>2</cp:revision>
  <dc:title>Visto</dc:title>
</cp:coreProperties>
</file>