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3"/>
      </w:pPr>
      <w:r>
        <w:t>ORDENANZA N° 8201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La nota presentada por la Sra. Olga Cabral; y </w:t>
      </w:r>
    </w:p>
    <w:p>
      <w:pPr>
        <w:rPr>
          <w:rFonts w:ascii="Courier New" w:hAnsi="Courier New"/>
        </w:rPr>
      </w:pPr>
    </w:p>
    <w:p>
      <w:pPr>
        <w:pStyle w:val="P1"/>
      </w:pPr>
    </w:p>
    <w:p>
      <w:pPr>
        <w:pStyle w:val="P1"/>
      </w:pPr>
      <w:r>
        <w:t>C O N S I D E R A N D O</w:t>
      </w:r>
    </w:p>
    <w:p/>
    <w:p>
      <w:pPr>
        <w:rPr>
          <w:rFonts w:ascii="Courier New" w:hAnsi="Courier New"/>
        </w:rPr>
      </w:pPr>
    </w:p>
    <w:p>
      <w:pPr>
        <w:pStyle w:val="P5"/>
      </w:pPr>
      <w:r>
        <w:t>Que a través del mismo, la Sra. Cabral Olga Josefa, de nuestra ciudad, solicita eximición de Tasa por Servicios a la Propiedad correspondiente al inmueble designación catastral 03–01–160-020 y de Tasa por Servicios de Administración y Mantenimiento de los Cementerios por la Identificación 003679;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mediante Ordenanza Nº 6581 se le otorga el beneficio de la Ordenanza Nº 5485 el cual no pudo cumplir debido a la imposibilidad de abonar los honorarios de los abogados procuradores;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realizado el relevamiento socioeconómico y ambiental correspondiente, el mismo indica que la solicitante y su esposo padecen problemas de salud con medicación permanente;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reciben módulo alimentario y poseen otorgado el beneficio de tarifa social de luz;</w:t>
      </w:r>
    </w:p>
    <w:p>
      <w:pPr>
        <w:pStyle w:val="P4"/>
        <w:ind w:left="709"/>
      </w:pPr>
    </w:p>
    <w:p>
      <w:pPr>
        <w:pStyle w:val="P4"/>
        <w:ind w:left="709"/>
      </w:pPr>
      <w:r>
        <w:t>Que evaluada la situación por la Comisión de Hacienda, se emite despacho favorable, aprobado por unanimidad en Sesión Ordinaria del 17 de Septiembre de 2008.</w:t>
      </w:r>
    </w:p>
    <w:p/>
    <w:p/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5"/>
        <w:tabs>
          <w:tab w:val="left" w:pos="7480" w:leader="none"/>
        </w:tabs>
        <w:ind w:left="0"/>
      </w:pPr>
    </w:p>
    <w:p>
      <w:pPr>
        <w:pStyle w:val="P5"/>
        <w:tabs>
          <w:tab w:val="left" w:pos="7480" w:leader="none"/>
        </w:tabs>
        <w:ind w:left="0"/>
      </w:pPr>
    </w:p>
    <w:p>
      <w:pPr>
        <w:pStyle w:val="P5"/>
        <w:tabs>
          <w:tab w:val="left" w:pos="7480" w:leader="none"/>
        </w:tabs>
        <w:ind w:left="0"/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FIJ</w:t>
      </w:r>
      <w:r>
        <w:rPr>
          <w:rFonts w:ascii="Courier New" w:hAnsi="Courier New"/>
          <w:b w:val="1"/>
          <w:bCs w:val="1"/>
        </w:rPr>
        <w:t>ASE</w:t>
      </w:r>
      <w:r>
        <w:rPr>
          <w:rFonts w:ascii="Courier New" w:hAnsi="Courier New"/>
        </w:rPr>
        <w:t xml:space="preserve"> una cuota mensual de PESOS QUINCE($15.00) en concepto de Tasas por Servicios a la Propiedad al inmueble designación  catastral 03-01-160-020 a partir de la promulgación de la presente y por el término de un   año,  fecha  en  que  deberá  realizarse  nuevo 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relevamiento socioeconómico y ambiental y de mantenerse la situación, renovarse el beneficio por otro periodo.-</w:t>
      </w: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ESTBL</w:t>
      </w:r>
      <w:r>
        <w:rPr>
          <w:rFonts w:ascii="Courier New" w:hAnsi="Courier New"/>
          <w:b w:val="1"/>
          <w:bCs w:val="1"/>
        </w:rPr>
        <w:t xml:space="preserve">ÉZCASE </w:t>
      </w:r>
      <w:r>
        <w:rPr>
          <w:rFonts w:ascii="Courier New" w:hAnsi="Courier New"/>
        </w:rPr>
        <w:t>que por cada cuota abonada conforme a lo establecido en el precepto anterior, eximir cinco (5) cuotas de la deuda no prescripta.-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EX</w:t>
      </w:r>
      <w:r>
        <w:rPr>
          <w:rFonts w:ascii="Courier New" w:hAnsi="Courier New"/>
          <w:b w:val="1"/>
          <w:bCs w:val="1"/>
        </w:rPr>
        <w:t>ÍMASE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en un cien por ciento (100%) la deuda que en concepto de Tasa por Servicios de Administración y Mantenimiento de los Cementerios mantiene con la Municipalidad de Alta Gracia, la identificación Nº 3679 a la fecha de promulgación de la presente.-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EX</w:t>
      </w:r>
      <w:r>
        <w:rPr>
          <w:rFonts w:ascii="Courier New" w:hAnsi="Courier New"/>
          <w:b w:val="1"/>
          <w:bCs w:val="1"/>
        </w:rPr>
        <w:t xml:space="preserve">ÍMASE </w:t>
      </w:r>
      <w:r>
        <w:rPr>
          <w:rFonts w:ascii="Courier New" w:hAnsi="Courier New"/>
        </w:rPr>
        <w:t>en un cien por ciento (100%) los derechos de inhumación correspondiente a la sepultura ubicación B-5-13 que contiene los restos mortales del Sr. Cabral José Pablino.-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</w:t>
      </w:r>
      <w:r>
        <w:rPr>
          <w:rFonts w:ascii="Courier New" w:hAnsi="Courier New"/>
          <w:b w:val="1"/>
          <w:bCs w:val="1"/>
          <w:u w:val="single"/>
        </w:rPr>
        <w:t>rt</w:t>
      </w:r>
      <w:r>
        <w:rPr>
          <w:rFonts w:ascii="Courier New" w:hAnsi="Courier New"/>
          <w:b w:val="1"/>
          <w:bCs w:val="1"/>
          <w:u w:val="single"/>
        </w:rPr>
        <w:t>.</w:t>
      </w:r>
      <w:r>
        <w:rPr>
          <w:rFonts w:ascii="Courier New" w:hAnsi="Courier New"/>
          <w:b w:val="1"/>
          <w:bCs w:val="1"/>
          <w:u w:val="single"/>
        </w:rPr>
        <w:t>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SOLICI</w:t>
      </w:r>
      <w:r>
        <w:rPr>
          <w:rFonts w:ascii="Courier New" w:hAnsi="Courier New"/>
          <w:b w:val="1"/>
          <w:bCs w:val="1"/>
        </w:rPr>
        <w:t xml:space="preserve">TASE </w:t>
      </w:r>
      <w:r>
        <w:rPr>
          <w:rFonts w:ascii="Courier New" w:hAnsi="Courier New"/>
        </w:rPr>
        <w:t xml:space="preserve">al Sr. Intendente, interceda ante el o los procuradores actuantes a fin de dejar sin efecto el o los juicios iniciados y honorarios generados,  exceptuando gastos y derechos de ley a tales fines</w:t>
      </w:r>
      <w:r>
        <w:rPr>
          <w:rFonts w:ascii="Courier New" w:hAnsi="Courier New"/>
          <w:b w:val="1"/>
          <w:bCs w:val="1"/>
        </w:rPr>
        <w:t>.-</w:t>
      </w: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6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DIECIESIETE                DÍAS DEL MES DE SEPTIEMBRE DEL AÑO DOS MIL OCHO.-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3CA127FC"/>
    <w:multiLevelType w:val="multilevel"/>
    <w:lvl w:ilvl="0">
      <w:start w:val="2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>
        <w:sz w:val="28"/>
        <w:szCs w:val="28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4">
    <w:name w:val="Body Text Indent 2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Body Text Indent"/>
    <w:basedOn w:val="P0"/>
    <w:next w:val="P5"/>
    <w:pPr>
      <w:ind w:left="720"/>
      <w:jc w:val="both"/>
    </w:pPr>
    <w:rPr>
      <w:rFonts w:ascii="Courier New" w:hAnsi="Courier New"/>
    </w:rPr>
  </w:style>
  <w:style w:type="paragraph" w:styleId="P6">
    <w:name w:val="Body Text 2"/>
    <w:basedOn w:val="P0"/>
    <w:next w:val="P6"/>
    <w:pPr>
      <w:jc w:val="both"/>
    </w:pPr>
    <w:rPr>
      <w:b w:val="1"/>
      <w:bCs w:val="1"/>
    </w:rPr>
  </w:style>
  <w:style w:type="paragraph" w:styleId="P7">
    <w:name w:val="Body Text"/>
    <w:basedOn w:val="P0"/>
    <w:next w:val="P7"/>
    <w:pPr>
      <w:jc w:val="both"/>
    </w:pPr>
    <w:rPr>
      <w:rFonts w:ascii="Courier New" w:hAnsi="Courier New"/>
    </w:rPr>
  </w:style>
  <w:style w:type="paragraph" w:styleId="P8">
    <w:name w:val="Body Text 3"/>
    <w:basedOn w:val="P0"/>
    <w:next w:val="P8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2026-07-09T18:25:02Z</dcterms:created>
  <cp:lastModifiedBy>Federico Parisi</cp:lastModifiedBy>
  <cp:lastPrinted>2008-09-26T23:46:00Z</cp:lastPrinted>
  <dcterms:modified xsi:type="dcterms:W3CDTF">2026-07-09T18:25:02Z</dcterms:modified>
  <cp:revision>2</cp:revision>
  <dc:title>Visto</dc:title>
</cp:coreProperties>
</file>