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825</w:t>
      </w:r>
      <w:r>
        <w:rPr>
          <w:rFonts w:ascii="Courier New" w:hAnsi="Courier New"/>
          <w:b w:val="1"/>
          <w:bCs w:val="1"/>
          <w:u w:val="single"/>
        </w:rPr>
        <w:t>8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El Expediente N° </w:t>
      </w:r>
      <w:r>
        <w:rPr>
          <w:rFonts w:ascii="Courier New" w:hAnsi="Courier New"/>
          <w:b w:val="0"/>
          <w:bCs w:val="0"/>
        </w:rPr>
        <w:t>1409</w:t>
      </w:r>
      <w:r>
        <w:rPr>
          <w:rFonts w:ascii="Courier New" w:hAnsi="Courier New"/>
          <w:b w:val="0"/>
          <w:bCs w:val="0"/>
        </w:rPr>
        <w:t>/0</w:t>
      </w:r>
      <w:r>
        <w:rPr>
          <w:rFonts w:ascii="Courier New" w:hAnsi="Courier New"/>
          <w:b w:val="0"/>
          <w:bCs w:val="0"/>
        </w:rPr>
        <w:t>5</w:t>
      </w:r>
      <w:r>
        <w:rPr>
          <w:rFonts w:ascii="Courier New" w:hAnsi="Courier New"/>
          <w:b w:val="0"/>
          <w:bCs w:val="0"/>
        </w:rPr>
        <w:t>; y</w:t>
      </w:r>
    </w:p>
    <w:p>
      <w:pPr>
        <w:rPr>
          <w:rFonts w:ascii="Courier New" w:hAnsi="Courier New"/>
        </w:rPr>
      </w:pPr>
    </w:p>
    <w:p>
      <w:pPr>
        <w:jc w:val="center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rPr>
          <w:rFonts w:ascii="Courier New" w:hAnsi="Courier New"/>
        </w:rPr>
      </w:pPr>
    </w:p>
    <w:p>
      <w:pPr>
        <w:ind w:left="561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mismo, la Sra. Martínez Felisa Maria, DNI N</w:t>
      </w:r>
      <w:r>
        <w:rPr>
          <w:rFonts w:ascii="Courier New" w:hAnsi="Courier New"/>
          <w:position w:val="6"/>
        </w:rPr>
        <w:t xml:space="preserve">° </w:t>
      </w:r>
      <w:r>
        <w:rPr>
          <w:rFonts w:ascii="Courier New" w:hAnsi="Courier New"/>
        </w:rPr>
        <w:t>7.675.288, con domicilio en calle Malvinas Argentinas N</w:t>
      </w:r>
      <w:r>
        <w:rPr>
          <w:rFonts w:ascii="Courier New" w:hAnsi="Courier New"/>
          <w:position w:val="6"/>
        </w:rPr>
        <w:t xml:space="preserve">° </w:t>
      </w:r>
      <w:r>
        <w:rPr>
          <w:rFonts w:ascii="Courier New" w:hAnsi="Courier New"/>
        </w:rPr>
        <w:t>1879 de nuestra ciudad, solicita eximición de Tasa por Servicios a la Propiedad correspondiente al inmueble Designación Catastral 03-01-253-014;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mediante Ordenanza N</w:t>
      </w:r>
      <w:r>
        <w:rPr>
          <w:rFonts w:ascii="Courier New" w:hAnsi="Courier New"/>
          <w:position w:val="6"/>
        </w:rPr>
        <w:t xml:space="preserve">° </w:t>
      </w:r>
      <w:r>
        <w:rPr>
          <w:rFonts w:ascii="Courier New" w:hAnsi="Courier New"/>
        </w:rPr>
        <w:t>7689, se le otorgó el beneficio de la Ordenanza N</w:t>
      </w:r>
      <w:r>
        <w:rPr>
          <w:rFonts w:ascii="Courier New" w:hAnsi="Courier New"/>
          <w:position w:val="6"/>
        </w:rPr>
        <w:t xml:space="preserve">° </w:t>
      </w:r>
      <w:r>
        <w:rPr>
          <w:rFonts w:ascii="Courier New" w:hAnsi="Courier New"/>
        </w:rPr>
        <w:t>5485 hasta junio de 2008;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24 se anexa nota de la Sra. Martínez solicitando la extensión del beneficio otorgado;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del certificado de deuda obrante a Fs. 25/30 se</w:t>
      </w:r>
      <w:r>
        <w:rPr>
          <w:rFonts w:ascii="Courier New" w:hAnsi="Courier New"/>
          <w:position w:val="6"/>
        </w:rPr>
        <w:t xml:space="preserve"> </w:t>
      </w:r>
      <w:r>
        <w:rPr>
          <w:rFonts w:ascii="Courier New" w:hAnsi="Courier New"/>
        </w:rPr>
        <w:t>desprende que ha cumplido con los pagos establecidos;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el nuevo relevamiento  Socioeconómico realizado indica que los ingresos del grupo familiar siguen siendo insuficientes para afrontar la deuda;</w:t>
      </w:r>
    </w:p>
    <w:p>
      <w:pPr>
        <w:pStyle w:val="P11"/>
        <w:ind w:left="561"/>
        <w:rPr>
          <w:rFonts w:ascii="Courier New" w:hAnsi="Courier New"/>
          <w:sz w:val="24"/>
          <w:szCs w:val="24"/>
        </w:rPr>
      </w:pPr>
    </w:p>
    <w:p>
      <w:pPr>
        <w:pStyle w:val="P11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Expediente de referencia por la Comisión de Hacienda, se emite despacho favorable, aprobado por unanimidad en Sesión Ordinaria del día 29 de Octubre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COND</w:t>
      </w:r>
      <w:r>
        <w:rPr>
          <w:rFonts w:ascii="Courier New" w:hAnsi="Courier New"/>
          <w:b w:val="1"/>
          <w:bCs w:val="1"/>
        </w:rPr>
        <w:t>ÓN</w:t>
      </w:r>
      <w:r>
        <w:rPr>
          <w:rFonts w:ascii="Courier New" w:hAnsi="Courier New"/>
          <w:b w:val="1"/>
          <w:bCs w:val="1"/>
        </w:rPr>
        <w:t>ASE</w:t>
      </w:r>
      <w:r>
        <w:rPr>
          <w:rFonts w:ascii="Courier New" w:hAnsi="Courier New"/>
        </w:rPr>
        <w:t xml:space="preserve"> la deuda que en concepto de Tasa por Servicios ala Propiedad mantiene con la Municipalidad de Alta Gracia al 30 de diciembre de 2006, el inmueble Designación Catastral 03-01-253-014;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F</w:t>
      </w:r>
      <w:r>
        <w:rPr>
          <w:rFonts w:ascii="Courier New" w:hAnsi="Courier New"/>
          <w:b w:val="1"/>
          <w:bCs w:val="1"/>
        </w:rPr>
        <w:t xml:space="preserve">ÍJASE </w:t>
      </w:r>
      <w:r>
        <w:rPr>
          <w:rFonts w:ascii="Courier New" w:hAnsi="Courier New"/>
        </w:rPr>
        <w:t>una cuota mensual en concepto de Tasa por Servicios a la Propiedad de PESOS DIEZ ($10.00) a partir de la Promulgación de la presente, al inmueble Designación Catastral 03-01-253-014 y por el término de un año, momento en el que se deberá realizar nuevo relevamiento Socioeconómico y en caso de mantenerse la situación, renovar el beneficio por un año mas.-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 EX</w:t>
      </w:r>
      <w:r>
        <w:rPr>
          <w:rFonts w:ascii="Courier New" w:hAnsi="Courier New"/>
          <w:b w:val="1"/>
          <w:bCs w:val="1"/>
        </w:rPr>
        <w:t xml:space="preserve">ÍMASE </w:t>
      </w:r>
      <w:r>
        <w:rPr>
          <w:rFonts w:ascii="Courier New" w:hAnsi="Courier New"/>
        </w:rPr>
        <w:t>por cada cuota abonada en término según lo establecido en el Articulo 1° de la presente, una (1) cuota de la deuda exigible.-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ESTABL</w:t>
      </w:r>
      <w:r>
        <w:rPr>
          <w:rFonts w:ascii="Courier New" w:hAnsi="Courier New"/>
          <w:b w:val="1"/>
          <w:bCs w:val="1"/>
        </w:rPr>
        <w:t xml:space="preserve">ÉZCASE </w:t>
      </w:r>
      <w:r>
        <w:rPr>
          <w:rFonts w:ascii="Courier New" w:hAnsi="Courier New"/>
        </w:rPr>
        <w:t>que la falta de pago de tres (3) cuotas consecutivas o alternadas, de la cuota fijada en el Articulo l0 así como la transferencia o cambio de titularidad del inmueble, hará caducar automáticamente el beneficio otorgado.-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5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VEINTINUEVE DIAS DEL MES DE OCTUBRE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2026-07-09T18:24:11Z</dcterms:created>
  <cp:lastModifiedBy>Federico Parisi</cp:lastModifiedBy>
  <cp:lastPrinted>2008-10-29T23:26:00Z</cp:lastPrinted>
  <dcterms:modified xsi:type="dcterms:W3CDTF">2026-07-09T18:24:11Z</dcterms:modified>
  <cp:revision>2</cp:revision>
  <dc:title>PROYECTO DE ORDENANZA</dc:title>
</cp:coreProperties>
</file>