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826</w:t>
      </w:r>
      <w:r>
        <w:rPr>
          <w:rFonts w:ascii="Courier New" w:hAnsi="Courier New"/>
          <w:b w:val="1"/>
          <w:bCs w:val="1"/>
          <w:u w:val="single"/>
        </w:rPr>
        <w:t>2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El Expediente 252/03</w:t>
      </w:r>
      <w:r>
        <w:rPr>
          <w:rFonts w:ascii="Courier New" w:hAnsi="Courier New"/>
          <w:b w:val="0"/>
          <w:bCs w:val="0"/>
        </w:rPr>
        <w:t>; y</w:t>
      </w: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relevamiento socio económico y ambiental efectuado por la Dirección de Desarrollo Humano y Trabajo,  noticia que el peticionante padece serios problemas de salud y la vivienda presenta deterioros, manchas de humedad y techo de chapa en una de las habitaciones;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comparte el inmueble con un hermano, jubilado con haber mínimo,  también con severos problemas de salud al igual que su señora esposa;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 vivienda se encuentra registrada a nombre de  quien en vida fuera su madre, doña Clara Salgado de Charras;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29/31 obra el correspondiente informe de deuda emitido por la Dirección de Ingresos Públicos, parte de la cual se encuentra en gestión judicial;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autoriza mediante nota se exhumen los restos del familiar  que se encuentra sepultado en la identificación en cuestión; </w:t>
      </w:r>
    </w:p>
    <w:p>
      <w:pPr>
        <w:pStyle w:val="P11"/>
        <w:ind w:left="561"/>
        <w:rPr>
          <w:rFonts w:ascii="Courier New" w:hAnsi="Courier New"/>
          <w:sz w:val="24"/>
          <w:szCs w:val="24"/>
        </w:rPr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Hacienda, se emite despacho favorable, aprobado por unanimidad en Sesión Ordinaria del día 05 de Noviembre de 2008.</w:t>
      </w:r>
    </w:p>
    <w:p>
      <w:pPr>
        <w:pStyle w:val="P11"/>
        <w:ind w:left="561"/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CONDON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 xml:space="preserve">la deuda que por Tasa por Servicios a la Propiedad mantiene a la fecha de promulgación de la presente, el  inmueble designación catastral 4-02-161-005-000.-</w:t>
      </w:r>
    </w:p>
    <w:p>
      <w:pPr>
        <w:ind w:hanging="567" w:left="567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CONDÓNASE</w:t>
      </w:r>
      <w:r>
        <w:rPr>
          <w:rFonts w:ascii="Courier New" w:hAnsi="Courier New"/>
        </w:rPr>
        <w:t xml:space="preserve"> la deuda que por Tasa de  Administración y Mantenimiento de los Cementerios mantiene a la fecha de promulgación de la presente,  la identificación Nº 5412.-</w:t>
      </w: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>UTOR</w:t>
      </w:r>
      <w:r>
        <w:rPr>
          <w:rFonts w:ascii="Courier New" w:hAnsi="Courier New"/>
          <w:b w:val="1"/>
          <w:bCs w:val="1"/>
        </w:rPr>
        <w:t>ÍZASE</w:t>
      </w:r>
      <w:r>
        <w:rPr>
          <w:rFonts w:ascii="Courier New" w:hAnsi="Courier New"/>
        </w:rPr>
        <w:t xml:space="preserve"> sin cargo,  la exhumación y traslado de los restos contenidos en la identificación Nº 5412 al osario general.-  </w:t>
      </w: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ÍTASE</w:t>
      </w:r>
      <w:r>
        <w:rPr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CINCO DIAS DEL MES DE NOVIEMBRE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2026-07-09T18:23:35Z</dcterms:created>
  <cp:lastModifiedBy>Federico Parisi</cp:lastModifiedBy>
  <cp:lastPrinted>2008-11-17T01:51:00Z</cp:lastPrinted>
  <dcterms:modified xsi:type="dcterms:W3CDTF">2026-07-09T18:23:35Z</dcterms:modified>
  <cp:revision>2</cp:revision>
  <dc:title>PROYECTO DE ORDENANZA</dc:title>
</cp:coreProperties>
</file>