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8280</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snapToGrid w:val="0"/>
        </w:rPr>
        <w:t>La necesidad de establecer un sistema de recolección y disposición final diferenciado</w:t>
      </w:r>
      <w:r>
        <w:rPr>
          <w:rFonts w:ascii="Courier New" w:hAnsi="Courier New"/>
          <w:b w:val="0"/>
          <w:bCs w:val="0"/>
          <w:snapToGrid w:val="0"/>
        </w:rPr>
        <w:t>,</w:t>
      </w:r>
      <w:r>
        <w:rPr>
          <w:rFonts w:ascii="Courier New" w:hAnsi="Courier New"/>
          <w:b w:val="0"/>
          <w:bCs w:val="0"/>
          <w:snapToGrid w:val="0"/>
        </w:rPr>
        <w:t xml:space="preserve"> de pilas y/o micro pilas, con el objeto de preservar nuestro ambiente</w:t>
      </w:r>
      <w:r>
        <w:rPr>
          <w:rFonts w:ascii="Courier New" w:hAnsi="Courier New"/>
          <w:b w:val="0"/>
          <w:bCs w:val="0"/>
        </w:rPr>
        <w:t>; y</w:t>
      </w:r>
    </w:p>
    <w:p>
      <w:pPr>
        <w:rPr>
          <w:rFonts w:ascii="Courier New" w:hAnsi="Courier New"/>
        </w:rPr>
      </w:pPr>
    </w:p>
    <w:p>
      <w:pPr>
        <w:jc w:val="center"/>
        <w:rPr>
          <w:rFonts w:ascii="Courier New" w:hAnsi="Courier New"/>
        </w:rPr>
      </w:pPr>
    </w:p>
    <w:p>
      <w:pPr>
        <w:pStyle w:val="P3"/>
        <w:rPr>
          <w:rFonts w:ascii="Courier New" w:hAnsi="Courier New"/>
        </w:rPr>
      </w:pPr>
      <w:r>
        <w:rPr>
          <w:rFonts w:ascii="Courier New" w:hAnsi="Courier New"/>
        </w:rPr>
        <w:t>C O N S I D E R A N D O</w:t>
      </w:r>
    </w:p>
    <w:p>
      <w:pPr>
        <w:pStyle w:val="P3"/>
        <w:rPr>
          <w:rFonts w:ascii="Courier New" w:hAnsi="Courier New"/>
        </w:rPr>
      </w:pPr>
    </w:p>
    <w:p>
      <w:pPr>
        <w:jc w:val="both"/>
        <w:rPr>
          <w:rFonts w:ascii="Courier New" w:hAnsi="Courier New"/>
        </w:rPr>
      </w:pPr>
    </w:p>
    <w:p>
      <w:pPr>
        <w:pStyle w:val="P16"/>
        <w:ind w:left="561"/>
        <w:jc w:val="both"/>
        <w:rPr>
          <w:rFonts w:ascii="Courier New" w:hAnsi="Courier New"/>
          <w:sz w:val="24"/>
          <w:szCs w:val="24"/>
        </w:rPr>
      </w:pPr>
      <w:r>
        <w:rPr>
          <w:rFonts w:ascii="Courier New" w:hAnsi="Courier New"/>
          <w:sz w:val="24"/>
          <w:szCs w:val="24"/>
        </w:rPr>
        <w:t>Que el Código de Protección Ambiental de nuestra ciudad 7942 tiene por objeto la reservación, conservación, defensa y mejoramiento del Ambiente de la Ciudad de Alta Gracia;</w:t>
      </w:r>
    </w:p>
    <w:p>
      <w:pPr>
        <w:pStyle w:val="P16"/>
        <w:ind w:left="561"/>
        <w:jc w:val="both"/>
        <w:rPr>
          <w:rFonts w:ascii="Courier New" w:hAnsi="Courier New"/>
          <w:sz w:val="24"/>
          <w:szCs w:val="24"/>
        </w:rPr>
      </w:pPr>
    </w:p>
    <w:p>
      <w:pPr>
        <w:pStyle w:val="P16"/>
        <w:ind w:left="561"/>
        <w:jc w:val="both"/>
        <w:rPr>
          <w:rFonts w:ascii="Courier New" w:hAnsi="Courier New"/>
          <w:sz w:val="24"/>
          <w:szCs w:val="24"/>
        </w:rPr>
      </w:pPr>
      <w:r>
        <w:rPr>
          <w:rFonts w:ascii="Courier New" w:hAnsi="Courier New"/>
          <w:sz w:val="24"/>
          <w:szCs w:val="24"/>
        </w:rPr>
        <w:t>Que algunas clases de pilas y baterías contienen compuestos químicos que, en el caso de ser dispuestas incorrectamente una vez agotadas, podrían afectar negativamente al ambiente, incluidos los seres vivos;</w:t>
      </w:r>
    </w:p>
    <w:p>
      <w:pPr>
        <w:pStyle w:val="P16"/>
        <w:ind w:left="561"/>
        <w:jc w:val="both"/>
        <w:rPr>
          <w:rFonts w:ascii="Courier New" w:hAnsi="Courier New"/>
          <w:sz w:val="24"/>
          <w:szCs w:val="24"/>
        </w:rPr>
      </w:pPr>
    </w:p>
    <w:p>
      <w:pPr>
        <w:pStyle w:val="P10"/>
        <w:ind w:left="561"/>
        <w:rPr>
          <w:b w:val="1"/>
          <w:bCs w:val="1"/>
        </w:rPr>
      </w:pPr>
      <w:r>
        <w:rPr>
          <w:b w:val="0"/>
          <w:bCs w:val="0"/>
        </w:rPr>
        <w:t>Que algunas micropilas y pilas, utilizadas en relojes, juguetes, cámaras fotográficas, linternas etc</w:t>
      </w:r>
      <w:r>
        <w:rPr>
          <w:b w:val="0"/>
          <w:bCs w:val="0"/>
        </w:rPr>
        <w:t>, de uso corriente en la comunidad, tienen por compuesto básico el mercurio, producto de extrema toxicidad y, por ende altamente contaminante (Una micropila de mercurio contamina 600.000 litros de agua</w:t>
      </w:r>
      <w:r>
        <w:rPr>
          <w:b w:val="0"/>
          <w:bCs w:val="0"/>
        </w:rPr>
        <w:t>);</w:t>
      </w:r>
    </w:p>
    <w:p>
      <w:pPr>
        <w:pStyle w:val="P10"/>
        <w:ind w:left="561"/>
        <w:rPr>
          <w:b w:val="1"/>
          <w:bCs w:val="1"/>
        </w:rPr>
      </w:pPr>
    </w:p>
    <w:p>
      <w:pPr>
        <w:ind w:left="561"/>
        <w:jc w:val="both"/>
        <w:rPr>
          <w:rFonts w:ascii="Courier New" w:hAnsi="Courier New"/>
          <w:snapToGrid w:val="0"/>
        </w:rPr>
      </w:pPr>
      <w:r>
        <w:rPr>
          <w:rFonts w:ascii="Courier New" w:hAnsi="Courier New"/>
          <w:snapToGrid w:val="0"/>
        </w:rPr>
        <w:t>Que el destino actual de estas pilas y micropilas es el mismo que el resto de los residuos domiciliarios (enterramiento sanitario) que, al ser corroídos sus envoltorios al contacto con los líquidos del lixiviado, liberan al medio el mercurio, el cual queda en estado natural en forma de un compuesto altamente estable (metíl mercurio);</w:t>
      </w:r>
    </w:p>
    <w:p>
      <w:pPr>
        <w:pStyle w:val="P10"/>
        <w:ind w:left="561"/>
      </w:pPr>
    </w:p>
    <w:p>
      <w:pPr>
        <w:ind w:left="561"/>
        <w:jc w:val="both"/>
        <w:rPr>
          <w:rFonts w:ascii="Courier New" w:hAnsi="Courier New"/>
        </w:rPr>
      </w:pPr>
      <w:r>
        <w:rPr>
          <w:rFonts w:ascii="Courier New" w:hAnsi="Courier New"/>
        </w:rPr>
        <w:t>Que es necesario un crecimiento con desarrollo sustentable a corto, mediano y largo plazo, mediante acciones que minimicen riesgos en nuestra Salud y Ambiente;</w:t>
      </w:r>
    </w:p>
    <w:p>
      <w:pPr>
        <w:ind w:left="561"/>
        <w:jc w:val="both"/>
        <w:rPr>
          <w:rFonts w:ascii="Courier New" w:hAnsi="Courier New"/>
        </w:rPr>
      </w:pPr>
    </w:p>
    <w:p>
      <w:pPr>
        <w:ind w:left="561"/>
        <w:jc w:val="both"/>
        <w:rPr>
          <w:rFonts w:ascii="Courier New" w:hAnsi="Courier New"/>
        </w:rPr>
      </w:pPr>
      <w:r>
        <w:rPr>
          <w:rFonts w:ascii="Courier New" w:hAnsi="Courier New"/>
        </w:rPr>
        <w:t>Que estos residuos, cuya generación no se limita exclusivamente al ámbito industrial o comercial, sino que involucra principalmente el uso hogareño poseen características peligrosas;</w:t>
      </w:r>
    </w:p>
    <w:p>
      <w:pPr>
        <w:ind w:left="561"/>
        <w:jc w:val="right"/>
        <w:rPr>
          <w:rFonts w:ascii="Courier New" w:hAnsi="Courier New"/>
        </w:rPr>
      </w:pPr>
      <w:r>
        <w:rPr>
          <w:rFonts w:ascii="Courier New" w:hAnsi="Courier New"/>
        </w:rPr>
        <w:t>...///</w:t>
      </w: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pStyle w:val="P13"/>
      </w:pPr>
    </w:p>
    <w:p>
      <w:pPr>
        <w:pStyle w:val="P13"/>
      </w:pPr>
    </w:p>
    <w:p>
      <w:pPr>
        <w:pStyle w:val="P13"/>
      </w:pPr>
    </w:p>
    <w:p>
      <w:pPr>
        <w:pStyle w:val="P13"/>
        <w:ind w:left="0"/>
      </w:pPr>
      <w:r>
        <w:t>...///2.-</w:t>
      </w:r>
    </w:p>
    <w:p>
      <w:pPr>
        <w:pStyle w:val="P13"/>
      </w:pPr>
    </w:p>
    <w:p>
      <w:pPr>
        <w:pStyle w:val="P13"/>
      </w:pPr>
      <w:r>
        <w:t>Que en general los constituyentes más peligrosos son los metales pesados tóxicos (ej: mercurio, cadmio, plomo);</w:t>
      </w:r>
    </w:p>
    <w:p>
      <w:pPr>
        <w:ind w:left="561"/>
        <w:jc w:val="both"/>
        <w:rPr>
          <w:rStyle w:val="C3"/>
          <w:rFonts w:ascii="Courier New" w:hAnsi="Courier New"/>
        </w:rPr>
      </w:pPr>
    </w:p>
    <w:p>
      <w:pPr>
        <w:ind w:left="561"/>
        <w:jc w:val="both"/>
        <w:rPr>
          <w:rFonts w:ascii="Courier New" w:hAnsi="Courier New"/>
        </w:rPr>
      </w:pPr>
      <w:r>
        <w:rPr>
          <w:rFonts w:ascii="Courier New" w:hAnsi="Courier New"/>
        </w:rPr>
        <w:t>Que el desarrollo tecnológico actual ha permitido reemplazar elementos tóxicos en muchas pilas, no obstante algunas otras continúan requiriendo en su diseño funcional la presencia de metales pesados. Ej: las pilas botón, las cuales contienen mercurio;</w:t>
      </w:r>
    </w:p>
    <w:p>
      <w:pPr>
        <w:ind w:left="561"/>
        <w:jc w:val="both"/>
        <w:rPr>
          <w:rFonts w:ascii="Courier New" w:hAnsi="Courier New"/>
        </w:rPr>
      </w:pPr>
    </w:p>
    <w:p>
      <w:pPr>
        <w:ind w:left="561"/>
        <w:jc w:val="both"/>
        <w:rPr>
          <w:rStyle w:val="C3"/>
          <w:rFonts w:ascii="Courier New" w:hAnsi="Courier New"/>
        </w:rPr>
      </w:pPr>
      <w:r>
        <w:rPr>
          <w:rFonts w:ascii="Courier New" w:hAnsi="Courier New"/>
        </w:rPr>
        <w:t xml:space="preserve">Que las pilas primarias (no recargables) de tipo cilíndricas (1,5 Voltios, AA, AAA, C y D) y las prismáticas (9 Voltios) ya sea comunes de carbón - zinc y alcalinas de manganeso que se comercializan en nuestro país están sujetas a procesos de Certificación en cuanto al contenido de metales pesados tóxicos,  conforme a la Ley Nº 26.184 y normativa complementaria;</w:t>
      </w:r>
    </w:p>
    <w:p>
      <w:pPr>
        <w:ind w:left="561"/>
        <w:jc w:val="both"/>
        <w:rPr>
          <w:rStyle w:val="C3"/>
          <w:rFonts w:ascii="Courier New" w:hAnsi="Courier New"/>
        </w:rPr>
      </w:pPr>
    </w:p>
    <w:p>
      <w:pPr>
        <w:ind w:left="561"/>
        <w:jc w:val="both"/>
        <w:rPr>
          <w:rFonts w:ascii="Courier New" w:hAnsi="Courier New"/>
        </w:rPr>
      </w:pPr>
      <w:r>
        <w:rPr>
          <w:rStyle w:val="C3"/>
          <w:rFonts w:ascii="Courier New" w:hAnsi="Courier New"/>
          <w:b w:val="0"/>
          <w:bCs w:val="0"/>
        </w:rPr>
        <w:t>Que</w:t>
      </w:r>
      <w:r>
        <w:rPr>
          <w:rStyle w:val="C3"/>
          <w:rFonts w:ascii="Courier New" w:hAnsi="Courier New"/>
        </w:rPr>
        <w:t xml:space="preserve"> </w:t>
      </w:r>
      <w:r>
        <w:rPr>
          <w:rFonts w:ascii="Courier New" w:hAnsi="Courier New"/>
        </w:rPr>
        <w:t>son residuos de origen domiciliario, comercial o industrial, que en virtud de presentar alguna característica de peligrosidad es conveniente su recolección diferenciada de los residuos sólidos urbanos;</w:t>
      </w:r>
    </w:p>
    <w:p>
      <w:pPr>
        <w:ind w:left="561"/>
        <w:jc w:val="both"/>
        <w:rPr>
          <w:rFonts w:ascii="Courier New" w:hAnsi="Courier New"/>
        </w:rPr>
      </w:pPr>
    </w:p>
    <w:p>
      <w:pPr>
        <w:ind w:left="561"/>
        <w:jc w:val="both"/>
        <w:rPr>
          <w:rFonts w:ascii="Courier New" w:hAnsi="Courier New"/>
        </w:rPr>
      </w:pPr>
      <w:r>
        <w:rPr>
          <w:rFonts w:ascii="Courier New" w:hAnsi="Courier New"/>
        </w:rPr>
        <w:t>Que es importante observar que los llamados residuos peligrosos universales se encuentran en una zona gris entre el concepto de simple residuo peligroso y residuo domiciliario, aún no resuelta por ninguna normativa en nuestro país;</w:t>
      </w:r>
    </w:p>
    <w:p>
      <w:pPr>
        <w:ind w:left="561"/>
        <w:jc w:val="both"/>
        <w:rPr>
          <w:rFonts w:ascii="Courier New" w:hAnsi="Courier New"/>
        </w:rPr>
      </w:pPr>
    </w:p>
    <w:p>
      <w:pPr>
        <w:ind w:left="561"/>
        <w:jc w:val="both"/>
        <w:rPr>
          <w:rFonts w:ascii="Courier New" w:hAnsi="Courier New"/>
        </w:rPr>
      </w:pPr>
      <w:r>
        <w:rPr>
          <w:rFonts w:ascii="Courier New" w:hAnsi="Courier New"/>
        </w:rPr>
        <w:t>Que ejemplos de estos residuos son: pilas, baterías de telefonía celular, tubos fluorescentes, tubos de neón (de alta presión de sodio y halógenos), cartuchos de toner, baterías de automóviles, entre otros;</w:t>
      </w:r>
    </w:p>
    <w:p>
      <w:pPr>
        <w:ind w:left="561"/>
        <w:jc w:val="both"/>
        <w:rPr>
          <w:rFonts w:ascii="Courier New" w:hAnsi="Courier New"/>
        </w:rPr>
      </w:pPr>
    </w:p>
    <w:p>
      <w:pPr>
        <w:pStyle w:val="P11"/>
        <w:ind w:left="561"/>
        <w:rPr>
          <w:rStyle w:val="C3"/>
          <w:rFonts w:ascii="Courier New" w:hAnsi="Courier New"/>
          <w:sz w:val="24"/>
          <w:szCs w:val="24"/>
        </w:rPr>
      </w:pPr>
      <w:r>
        <w:rPr>
          <w:rFonts w:ascii="Courier New" w:hAnsi="Courier New"/>
          <w:sz w:val="24"/>
          <w:szCs w:val="24"/>
        </w:rPr>
        <w:t>Que aquellas pilas agotadas que contienen constituyentes peligrosos, generadas a nivel domiciliario, están excluidas del alcance de la Ley Nacional Nº 24.051 de Residuos Peligrosos;</w:t>
      </w:r>
    </w:p>
    <w:p>
      <w:pPr>
        <w:ind w:left="561"/>
        <w:jc w:val="right"/>
        <w:rPr>
          <w:rStyle w:val="C3"/>
          <w:rFonts w:ascii="Courier New" w:hAnsi="Courier New"/>
          <w:b w:val="0"/>
          <w:bCs w:val="0"/>
        </w:rPr>
      </w:pPr>
      <w:r>
        <w:rPr>
          <w:rStyle w:val="C3"/>
          <w:rFonts w:ascii="Courier New" w:hAnsi="Courier New"/>
          <w:b w:val="0"/>
          <w:bCs w:val="0"/>
        </w:rPr>
        <w:t>...///</w:t>
      </w:r>
    </w:p>
    <w:p>
      <w:pPr>
        <w:ind w:left="561"/>
        <w:jc w:val="both"/>
        <w:rPr>
          <w:rStyle w:val="C3"/>
          <w:rFonts w:ascii="Courier New" w:hAnsi="Courier New"/>
          <w:b w:val="0"/>
          <w:bCs w:val="0"/>
        </w:rPr>
      </w:pPr>
    </w:p>
    <w:p>
      <w:pPr>
        <w:ind w:left="561"/>
        <w:jc w:val="both"/>
        <w:rPr>
          <w:rStyle w:val="C3"/>
          <w:rFonts w:ascii="Courier New" w:hAnsi="Courier New"/>
          <w:b w:val="0"/>
          <w:bCs w:val="0"/>
        </w:rPr>
      </w:pPr>
    </w:p>
    <w:p>
      <w:pPr>
        <w:ind w:left="561"/>
        <w:jc w:val="both"/>
        <w:rPr>
          <w:rStyle w:val="C3"/>
          <w:rFonts w:ascii="Courier New" w:hAnsi="Courier New"/>
          <w:b w:val="0"/>
          <w:bCs w:val="0"/>
        </w:rPr>
      </w:pPr>
    </w:p>
    <w:p>
      <w:pPr>
        <w:ind w:left="561"/>
        <w:jc w:val="both"/>
        <w:rPr>
          <w:rStyle w:val="C3"/>
          <w:rFonts w:ascii="Courier New" w:hAnsi="Courier New"/>
          <w:b w:val="0"/>
          <w:bCs w:val="0"/>
        </w:rPr>
      </w:pPr>
    </w:p>
    <w:p>
      <w:pPr>
        <w:ind w:left="561"/>
        <w:jc w:val="both"/>
        <w:rPr>
          <w:rStyle w:val="C3"/>
          <w:rFonts w:ascii="Courier New" w:hAnsi="Courier New"/>
          <w:b w:val="0"/>
          <w:bCs w:val="0"/>
        </w:rPr>
      </w:pPr>
    </w:p>
    <w:p>
      <w:pPr>
        <w:ind w:left="561"/>
        <w:jc w:val="both"/>
        <w:rPr>
          <w:rStyle w:val="C3"/>
          <w:rFonts w:ascii="Courier New" w:hAnsi="Courier New"/>
          <w:b w:val="0"/>
          <w:bCs w:val="0"/>
        </w:rPr>
      </w:pPr>
    </w:p>
    <w:p>
      <w:pPr>
        <w:ind w:left="561"/>
        <w:jc w:val="both"/>
        <w:rPr>
          <w:rStyle w:val="C3"/>
          <w:rFonts w:ascii="Courier New" w:hAnsi="Courier New"/>
          <w:b w:val="0"/>
          <w:bCs w:val="0"/>
        </w:rPr>
      </w:pPr>
    </w:p>
    <w:p>
      <w:pPr>
        <w:ind w:left="561"/>
        <w:jc w:val="both"/>
        <w:rPr>
          <w:rStyle w:val="C3"/>
          <w:rFonts w:ascii="Courier New" w:hAnsi="Courier New"/>
          <w:b w:val="0"/>
          <w:bCs w:val="0"/>
        </w:rPr>
      </w:pPr>
    </w:p>
    <w:p>
      <w:pPr>
        <w:ind w:left="561"/>
        <w:jc w:val="both"/>
        <w:rPr>
          <w:rStyle w:val="C3"/>
          <w:rFonts w:ascii="Courier New" w:hAnsi="Courier New"/>
          <w:b w:val="0"/>
          <w:bCs w:val="0"/>
        </w:rPr>
      </w:pPr>
    </w:p>
    <w:p>
      <w:pPr>
        <w:jc w:val="both"/>
        <w:rPr>
          <w:rStyle w:val="C3"/>
          <w:rFonts w:ascii="Courier New" w:hAnsi="Courier New"/>
          <w:b w:val="0"/>
          <w:bCs w:val="0"/>
        </w:rPr>
      </w:pPr>
      <w:r>
        <w:rPr>
          <w:rStyle w:val="C3"/>
          <w:rFonts w:ascii="Courier New" w:hAnsi="Courier New"/>
          <w:b w:val="0"/>
          <w:bCs w:val="0"/>
        </w:rPr>
        <w:t>...///3.-</w:t>
      </w:r>
    </w:p>
    <w:p>
      <w:pPr>
        <w:ind w:left="561"/>
        <w:jc w:val="both"/>
        <w:rPr>
          <w:rStyle w:val="C3"/>
          <w:rFonts w:ascii="Courier New" w:hAnsi="Courier New"/>
          <w:b w:val="0"/>
          <w:bCs w:val="0"/>
        </w:rPr>
      </w:pPr>
    </w:p>
    <w:p>
      <w:pPr>
        <w:ind w:left="561"/>
        <w:jc w:val="both"/>
        <w:rPr>
          <w:rFonts w:ascii="Courier New" w:hAnsi="Courier New"/>
        </w:rPr>
      </w:pPr>
      <w:r>
        <w:rPr>
          <w:rStyle w:val="C3"/>
          <w:rFonts w:ascii="Courier New" w:hAnsi="Courier New"/>
          <w:b w:val="0"/>
          <w:bCs w:val="0"/>
        </w:rPr>
        <w:t>Que l</w:t>
      </w:r>
      <w:r>
        <w:rPr>
          <w:rFonts w:ascii="Courier New" w:hAnsi="Courier New"/>
        </w:rPr>
        <w:t>a competencia sobre la gestión de los residuos generados en los hogares corresponde a la jurisdicción local, esto es, a la autoridad municipal, a quien se debe consultar para mayor información sobre la existencia de programas para la gestión de pilas y baterías;</w:t>
      </w:r>
    </w:p>
    <w:p>
      <w:pPr>
        <w:ind w:left="561"/>
        <w:jc w:val="both"/>
        <w:rPr>
          <w:rFonts w:ascii="Courier New" w:hAnsi="Courier New"/>
        </w:rPr>
      </w:pPr>
    </w:p>
    <w:p>
      <w:pPr>
        <w:ind w:left="561"/>
        <w:jc w:val="both"/>
        <w:rPr>
          <w:rFonts w:ascii="Courier New" w:hAnsi="Courier New"/>
        </w:rPr>
      </w:pPr>
      <w:r>
        <w:rPr>
          <w:rFonts w:ascii="Courier New" w:hAnsi="Courier New"/>
        </w:rPr>
        <w:t>Que sabemos que una pila barata, en general, tiene una menor vida útil que una de buena calidad, con el agravante de estar elaborada bajo un proceso más contaminante, que, en consecuencia, da como resultado pilas con mayores contaminantes también;</w:t>
      </w:r>
    </w:p>
    <w:p>
      <w:pPr>
        <w:ind w:left="561"/>
        <w:jc w:val="both"/>
        <w:rPr>
          <w:rFonts w:ascii="Courier New" w:hAnsi="Courier New"/>
        </w:rPr>
      </w:pPr>
    </w:p>
    <w:p>
      <w:pPr>
        <w:ind w:left="561"/>
        <w:jc w:val="both"/>
        <w:rPr>
          <w:rFonts w:ascii="Courier New" w:hAnsi="Courier New"/>
        </w:rPr>
      </w:pPr>
      <w:r>
        <w:rPr>
          <w:rFonts w:ascii="Courier New" w:hAnsi="Courier New"/>
        </w:rPr>
        <w:t>Que el consumidor debería priorizar su compromiso ambiental, ya que finalmente deberá pagar, en forma indirecta, tratamientos más caros, o bien, la recomposición de los daños que se causen al ambiente;</w:t>
      </w:r>
    </w:p>
    <w:p>
      <w:pPr>
        <w:ind w:left="561"/>
        <w:jc w:val="both"/>
        <w:rPr>
          <w:rFonts w:ascii="Courier New" w:hAnsi="Courier New"/>
        </w:rPr>
      </w:pPr>
    </w:p>
    <w:p>
      <w:pPr>
        <w:pStyle w:val="P11"/>
        <w:ind w:left="561"/>
        <w:rPr>
          <w:rFonts w:ascii="Courier New" w:hAnsi="Courier New"/>
          <w:sz w:val="24"/>
          <w:szCs w:val="24"/>
        </w:rPr>
      </w:pPr>
      <w:r>
        <w:rPr>
          <w:rFonts w:ascii="Courier New" w:hAnsi="Courier New"/>
          <w:sz w:val="24"/>
          <w:szCs w:val="24"/>
        </w:rPr>
        <w:t>Que conforme al artículo 35 de la Ley de Presupuestos Mínimos de Residuos Domiciliarios (Ley Nº 25.916) “las autoridades competentes deberán establecer, en el ámbito de su jurisdicción programas especiales de gestión para aquellos residuos domiciliarios que por sus características particulares de peligrosidad, nocividad o toxicidad puedan presentar riesgos significativos sobre la salud humana o animal o sobre los recursos ambientales”;</w:t>
      </w:r>
    </w:p>
    <w:p>
      <w:pPr>
        <w:ind w:left="561"/>
        <w:jc w:val="both"/>
        <w:rPr>
          <w:rFonts w:ascii="Courier New" w:hAnsi="Courier New"/>
          <w:b w:val="1"/>
          <w:bCs w:val="1"/>
        </w:rPr>
      </w:pPr>
    </w:p>
    <w:p>
      <w:pPr>
        <w:pStyle w:val="P11"/>
        <w:ind w:left="561"/>
        <w:rPr>
          <w:rFonts w:ascii="Courier New" w:hAnsi="Courier New"/>
          <w:sz w:val="24"/>
          <w:szCs w:val="24"/>
        </w:rPr>
      </w:pPr>
      <w:r>
        <w:rPr>
          <w:rFonts w:ascii="Courier New" w:hAnsi="Courier New"/>
          <w:sz w:val="24"/>
          <w:szCs w:val="24"/>
        </w:rPr>
        <w:t xml:space="preserve">Que en principio, conforme el reparto de competencias en materia   de federalismo, los municipios son los responsables de la gestión de los residuos domiciliarios que incluye la segregación diferencial de componentes peligrosos, para su tratamiento y disposición final como residuos peligrosos;</w:t>
      </w:r>
    </w:p>
    <w:p>
      <w:pPr>
        <w:ind w:left="561"/>
        <w:jc w:val="both"/>
        <w:rPr>
          <w:rFonts w:ascii="Courier New" w:hAnsi="Courier New"/>
          <w:b w:val="1"/>
          <w:bCs w:val="1"/>
        </w:rPr>
      </w:pPr>
    </w:p>
    <w:p>
      <w:pPr>
        <w:pStyle w:val="P11"/>
        <w:ind w:left="561"/>
        <w:rPr>
          <w:rFonts w:ascii="Courier New" w:hAnsi="Courier New"/>
          <w:sz w:val="24"/>
          <w:szCs w:val="24"/>
        </w:rPr>
      </w:pPr>
      <w:r>
        <w:rPr>
          <w:rFonts w:ascii="Courier New" w:hAnsi="Courier New"/>
          <w:sz w:val="24"/>
          <w:szCs w:val="24"/>
        </w:rPr>
        <w:t xml:space="preserve">Que los programas o campañas de gestión de pilas usadas de origen domiciliario deben considerar que la acumulación de estos materiales implica un incremento de los riesgos de exposición a los constituyentes peligrosos   que  pueden  estar  presentes  en  dichos </w:t>
      </w:r>
    </w:p>
    <w:p>
      <w:pPr>
        <w:pStyle w:val="P11"/>
        <w:ind w:left="561"/>
        <w:jc w:val="right"/>
        <w:rPr>
          <w:rFonts w:ascii="Courier New" w:hAnsi="Courier New"/>
          <w:sz w:val="24"/>
          <w:szCs w:val="24"/>
        </w:rPr>
      </w:pPr>
      <w:r>
        <w:rPr>
          <w:rFonts w:ascii="Courier New" w:hAnsi="Courier New"/>
          <w:sz w:val="24"/>
          <w:szCs w:val="24"/>
        </w:rPr>
        <w:t>...///</w:t>
      </w: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rPr>
          <w:rFonts w:ascii="Courier New" w:hAnsi="Courier New"/>
          <w:sz w:val="24"/>
          <w:szCs w:val="24"/>
        </w:rPr>
      </w:pPr>
      <w:r>
        <w:rPr>
          <w:rFonts w:ascii="Courier New" w:hAnsi="Courier New"/>
          <w:sz w:val="24"/>
          <w:szCs w:val="24"/>
        </w:rPr>
        <w:t>...///4.-</w:t>
      </w:r>
    </w:p>
    <w:p>
      <w:pPr>
        <w:pStyle w:val="P11"/>
        <w:ind w:left="561"/>
        <w:rPr>
          <w:rFonts w:ascii="Courier New" w:hAnsi="Courier New"/>
          <w:sz w:val="24"/>
          <w:szCs w:val="24"/>
        </w:rPr>
      </w:pPr>
    </w:p>
    <w:p>
      <w:pPr>
        <w:pStyle w:val="P11"/>
        <w:ind w:left="561"/>
        <w:rPr>
          <w:rFonts w:ascii="Courier New" w:hAnsi="Courier New"/>
          <w:sz w:val="24"/>
          <w:szCs w:val="24"/>
        </w:rPr>
      </w:pPr>
      <w:r>
        <w:rPr>
          <w:rFonts w:ascii="Courier New" w:hAnsi="Courier New"/>
          <w:sz w:val="24"/>
          <w:szCs w:val="24"/>
        </w:rPr>
        <w:t>residuos; por lo tanto, y atendiendo al riesgo que las tareas de recepción, acumulación, acopio, almacenamiento de pilas usadas implica, es imprescindible que dichas actividades sean desarrolladas y supervisadas por personal idóneo y capacitado de forma tal de no exponer a la población en general a efectos perjudiciales para su salud;</w:t>
      </w:r>
    </w:p>
    <w:p>
      <w:pPr>
        <w:ind w:left="561"/>
        <w:jc w:val="both"/>
        <w:rPr>
          <w:rFonts w:ascii="Courier New" w:hAnsi="Courier New"/>
          <w:b w:val="1"/>
          <w:bCs w:val="1"/>
        </w:rPr>
      </w:pPr>
    </w:p>
    <w:p>
      <w:pPr>
        <w:pStyle w:val="P11"/>
        <w:ind w:left="561"/>
        <w:rPr>
          <w:rFonts w:ascii="Courier New" w:hAnsi="Courier New"/>
          <w:sz w:val="24"/>
          <w:szCs w:val="24"/>
        </w:rPr>
      </w:pPr>
      <w:r>
        <w:rPr>
          <w:rFonts w:ascii="Courier New" w:hAnsi="Courier New"/>
          <w:sz w:val="24"/>
          <w:szCs w:val="24"/>
        </w:rPr>
        <w:t>Que hasta el momento, existe un vacío legal en cuanto a la gestión específica de pilas agotadas que se constituyen en residuos;</w:t>
      </w:r>
    </w:p>
    <w:p>
      <w:pPr>
        <w:pStyle w:val="P11"/>
        <w:ind w:left="561"/>
        <w:rPr>
          <w:rFonts w:ascii="Courier New" w:hAnsi="Courier New"/>
          <w:sz w:val="24"/>
          <w:szCs w:val="24"/>
        </w:rPr>
      </w:pPr>
    </w:p>
    <w:p>
      <w:pPr>
        <w:pStyle w:val="P11"/>
        <w:ind w:left="561"/>
        <w:rPr>
          <w:rFonts w:ascii="Courier New" w:hAnsi="Courier New"/>
          <w:sz w:val="24"/>
          <w:szCs w:val="24"/>
        </w:rPr>
      </w:pPr>
      <w:r>
        <w:rPr>
          <w:rFonts w:ascii="Courier New" w:hAnsi="Courier New"/>
          <w:sz w:val="24"/>
          <w:szCs w:val="24"/>
        </w:rPr>
        <w:t>Que algunas pilas usadas no recargables pueden gestionarse con la basura domiciliaria; tales pilas son aquellas que fueron sometidas a un proceso de Certificación conforme a la Ley Nº 26.184 y su normativa complementaria:</w:t>
      </w:r>
    </w:p>
    <w:p>
      <w:pPr>
        <w:ind w:left="561"/>
        <w:jc w:val="both"/>
        <w:rPr>
          <w:rFonts w:ascii="Courier New" w:hAnsi="Courier New"/>
        </w:rPr>
      </w:pPr>
      <w:r>
        <w:rPr>
          <w:rStyle w:val="C4"/>
          <w:rFonts w:ascii="Courier New" w:hAnsi="Courier New"/>
          <w:u w:val="single"/>
        </w:rPr>
        <w:t>Estas son:</w:t>
      </w:r>
    </w:p>
    <w:p>
      <w:pPr>
        <w:numPr>
          <w:ilvl w:val="0"/>
          <w:numId w:val="16"/>
        </w:numPr>
        <w:ind w:left="561"/>
        <w:jc w:val="both"/>
        <w:rPr>
          <w:rFonts w:ascii="Courier New" w:hAnsi="Courier New"/>
        </w:rPr>
      </w:pPr>
      <w:r>
        <w:rPr>
          <w:rFonts w:ascii="Courier New" w:hAnsi="Courier New"/>
        </w:rPr>
        <w:t>Pilas Primarias: No recargables.</w:t>
      </w:r>
    </w:p>
    <w:p>
      <w:pPr>
        <w:numPr>
          <w:ilvl w:val="0"/>
          <w:numId w:val="16"/>
        </w:numPr>
        <w:ind w:left="561"/>
        <w:jc w:val="both"/>
        <w:rPr>
          <w:rFonts w:ascii="Courier New" w:hAnsi="Courier New"/>
        </w:rPr>
      </w:pPr>
      <w:r>
        <w:rPr>
          <w:rFonts w:ascii="Courier New" w:hAnsi="Courier New"/>
        </w:rPr>
        <w:t>Forma: cilíndricas (AA, AAA, D, C de 1.5 voltios) y prismáticas (baterías de 9 voltios).</w:t>
      </w:r>
    </w:p>
    <w:p>
      <w:pPr>
        <w:numPr>
          <w:ilvl w:val="0"/>
          <w:numId w:val="16"/>
        </w:numPr>
        <w:ind w:left="561"/>
        <w:jc w:val="both"/>
        <w:rPr>
          <w:rFonts w:ascii="Courier New" w:hAnsi="Courier New"/>
        </w:rPr>
      </w:pPr>
      <w:r>
        <w:rPr>
          <w:rFonts w:ascii="Courier New" w:hAnsi="Courier New"/>
        </w:rPr>
        <w:t>Tipo: comunes de carbón zinc y alcalinas de manganeso.</w:t>
      </w:r>
    </w:p>
    <w:p>
      <w:pPr>
        <w:ind w:left="561"/>
        <w:jc w:val="both"/>
        <w:rPr>
          <w:rFonts w:ascii="Courier New" w:hAnsi="Courier New"/>
        </w:rPr>
      </w:pPr>
      <w:r>
        <w:rPr>
          <w:rFonts w:ascii="Courier New" w:hAnsi="Courier New"/>
        </w:rPr>
        <w:t>Estas últimas pilas pueden disponerse junto con la basura domiciliaria cuando tengan como destino un relleno sanitario dado que sus componentes son compatibles para su disposición final con este tipo de tecnología.</w:t>
      </w:r>
    </w:p>
    <w:p>
      <w:pPr>
        <w:pStyle w:val="P11"/>
        <w:ind w:left="561"/>
        <w:rPr>
          <w:rFonts w:ascii="Courier New" w:hAnsi="Courier New"/>
          <w:sz w:val="24"/>
          <w:szCs w:val="24"/>
        </w:rPr>
      </w:pPr>
      <w:r>
        <w:rPr>
          <w:rFonts w:ascii="Courier New" w:hAnsi="Courier New"/>
          <w:sz w:val="24"/>
          <w:szCs w:val="24"/>
        </w:rPr>
        <w:t>El resto de las pilas primarias cilíndricas y prismáticas “no certificadas” (anteriores a la Ley 26.184), las de botón y las pilas o baterías secundarias (recargables) deben ser segregadas de la basura domiciliaria mediante programas especiales que cada jurisdicción local establezca.</w:t>
      </w:r>
    </w:p>
    <w:p>
      <w:pPr>
        <w:ind w:left="561"/>
        <w:jc w:val="both"/>
        <w:rPr>
          <w:rFonts w:ascii="Courier New" w:hAnsi="Courier New"/>
          <w:b w:val="1"/>
          <w:bCs w:val="1"/>
        </w:rPr>
      </w:pPr>
    </w:p>
    <w:p>
      <w:pPr>
        <w:ind w:left="561"/>
        <w:jc w:val="both"/>
        <w:rPr>
          <w:rFonts w:ascii="Courier New" w:hAnsi="Courier New"/>
        </w:rPr>
      </w:pPr>
      <w:r>
        <w:rPr>
          <w:rFonts w:ascii="Courier New" w:hAnsi="Courier New"/>
        </w:rPr>
        <w:t>Que algunas de las medidas para la reducción de origen serian:</w:t>
      </w:r>
    </w:p>
    <w:p>
      <w:pPr>
        <w:numPr>
          <w:ilvl w:val="0"/>
          <w:numId w:val="17"/>
        </w:numPr>
        <w:jc w:val="both"/>
        <w:rPr>
          <w:rFonts w:ascii="Courier New" w:hAnsi="Courier New"/>
        </w:rPr>
      </w:pPr>
      <w:r>
        <w:rPr>
          <w:rFonts w:ascii="Courier New" w:hAnsi="Courier New"/>
        </w:rPr>
        <w:t xml:space="preserve">- Utilizar los artefactos eléctricos conectados a la red o energía solar, para así evitar la utilización de pilas. Si su uso es inevitable, es conveniente comprar pilas recargables, siempre y cuando su destino final sea el reciclado </w:t>
      </w:r>
    </w:p>
    <w:p>
      <w:pPr>
        <w:ind w:left="561"/>
        <w:jc w:val="right"/>
        <w:rPr>
          <w:rFonts w:ascii="Courier New" w:hAnsi="Courier New"/>
        </w:rPr>
      </w:pPr>
      <w:r>
        <w:rPr>
          <w:rFonts w:ascii="Courier New" w:hAnsi="Courier New"/>
        </w:rPr>
        <w:t>...///</w:t>
      </w: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jc w:val="both"/>
        <w:rPr>
          <w:rFonts w:ascii="Courier New" w:hAnsi="Courier New"/>
        </w:rPr>
      </w:pPr>
      <w:r>
        <w:rPr>
          <w:rFonts w:ascii="Courier New" w:hAnsi="Courier New"/>
        </w:rPr>
        <w:t>...///5.-</w:t>
      </w:r>
    </w:p>
    <w:p>
      <w:pPr>
        <w:ind w:left="561"/>
        <w:jc w:val="both"/>
        <w:rPr>
          <w:rFonts w:ascii="Courier New" w:hAnsi="Courier New"/>
        </w:rPr>
      </w:pPr>
    </w:p>
    <w:p>
      <w:pPr>
        <w:ind w:left="561"/>
        <w:jc w:val="both"/>
        <w:rPr>
          <w:rFonts w:ascii="Courier New" w:hAnsi="Courier New"/>
        </w:rPr>
      </w:pPr>
      <w:r>
        <w:rPr>
          <w:rFonts w:ascii="Courier New" w:hAnsi="Courier New"/>
        </w:rPr>
        <w:t xml:space="preserve">-  Adquirir las pilas con el rótulo "</w:t>
      </w:r>
      <w:r>
        <w:rPr>
          <w:rStyle w:val="C3"/>
          <w:rFonts w:ascii="Courier New" w:hAnsi="Courier New"/>
        </w:rPr>
        <w:t>Libre de Mercurio (Hg)</w:t>
      </w:r>
      <w:r>
        <w:rPr>
          <w:rFonts w:ascii="Courier New" w:hAnsi="Courier New"/>
        </w:rPr>
        <w:t>" o similar, dado que este elemento es el más contaminante de los contenidos en ella.</w:t>
      </w:r>
    </w:p>
    <w:p>
      <w:pPr>
        <w:ind w:left="561"/>
        <w:jc w:val="both"/>
        <w:rPr>
          <w:rFonts w:ascii="Courier New" w:hAnsi="Courier New"/>
        </w:rPr>
      </w:pPr>
      <w:r>
        <w:rPr>
          <w:rFonts w:ascii="Courier New" w:hAnsi="Courier New"/>
        </w:rPr>
        <w:t>Para las pilas provenientes del sudeste asiático, comúnmente compradas por su escaso valor, la forma</w:t>
      </w:r>
    </w:p>
    <w:p>
      <w:pPr>
        <w:numPr>
          <w:ilvl w:val="0"/>
          <w:numId w:val="17"/>
        </w:numPr>
        <w:jc w:val="both"/>
        <w:rPr>
          <w:rFonts w:ascii="Courier New" w:hAnsi="Courier New"/>
        </w:rPr>
      </w:pPr>
      <w:r>
        <w:rPr>
          <w:rFonts w:ascii="Courier New" w:hAnsi="Courier New"/>
        </w:rPr>
        <w:t xml:space="preserve">más adecuada de gestión es, directamente, </w:t>
      </w:r>
      <w:r>
        <w:rPr>
          <w:rStyle w:val="C3"/>
          <w:rFonts w:ascii="Courier New" w:hAnsi="Courier New"/>
        </w:rPr>
        <w:t>no comprarlas</w:t>
      </w:r>
      <w:r>
        <w:rPr>
          <w:rFonts w:ascii="Courier New" w:hAnsi="Courier New"/>
        </w:rPr>
        <w:t>.</w:t>
      </w:r>
    </w:p>
    <w:p>
      <w:pPr>
        <w:ind w:left="561"/>
        <w:jc w:val="both"/>
        <w:rPr>
          <w:rFonts w:ascii="Courier New" w:hAnsi="Courier New"/>
        </w:rPr>
      </w:pPr>
      <w:r>
        <w:rPr>
          <w:rFonts w:ascii="Courier New" w:hAnsi="Courier New"/>
        </w:rPr>
        <w:t>-No juntar pilas. Estamos concentrando los riesgos</w:t>
      </w:r>
    </w:p>
    <w:p>
      <w:pPr>
        <w:ind w:left="561"/>
        <w:jc w:val="both"/>
        <w:rPr>
          <w:rFonts w:ascii="Courier New" w:hAnsi="Courier New"/>
        </w:rPr>
      </w:pPr>
      <w:r>
        <w:rPr>
          <w:rFonts w:ascii="Courier New" w:hAnsi="Courier New"/>
        </w:rPr>
        <w:t>-No mezclar las pilas nuevas con las usadas. Se reduce la vida útil de ambas.</w:t>
      </w:r>
    </w:p>
    <w:p>
      <w:pPr>
        <w:ind w:left="561"/>
        <w:jc w:val="both"/>
        <w:rPr>
          <w:rFonts w:ascii="Courier New" w:hAnsi="Courier New"/>
        </w:rPr>
      </w:pPr>
      <w:r>
        <w:rPr>
          <w:rFonts w:ascii="Courier New" w:hAnsi="Courier New"/>
        </w:rPr>
        <w:t>-No tirar las pilas a la cloaca, ya que finalmente llegan al río, y podrían contaminar las aguas. En ausencia de red cloacal, la contaminación afectaría las napas</w:t>
      </w:r>
    </w:p>
    <w:p>
      <w:pPr>
        <w:ind w:left="561"/>
        <w:jc w:val="both"/>
        <w:rPr>
          <w:rFonts w:ascii="Courier New" w:hAnsi="Courier New"/>
        </w:rPr>
      </w:pPr>
      <w:r>
        <w:rPr>
          <w:rFonts w:ascii="Courier New" w:hAnsi="Courier New"/>
        </w:rPr>
        <w:t>-No quemar las pilas, esta recomendación es para todos los tipos de pilas y baterías.</w:t>
      </w:r>
    </w:p>
    <w:p>
      <w:pPr>
        <w:ind w:left="561"/>
        <w:jc w:val="both"/>
        <w:rPr>
          <w:rFonts w:ascii="Courier New" w:hAnsi="Courier New"/>
        </w:rPr>
      </w:pPr>
      <w:r>
        <w:rPr>
          <w:rFonts w:ascii="Courier New" w:hAnsi="Courier New"/>
        </w:rPr>
        <w:t>-No dejar las pilas al alcance de los niños.</w:t>
      </w:r>
    </w:p>
    <w:p>
      <w:pPr>
        <w:ind w:left="561"/>
        <w:jc w:val="both"/>
        <w:rPr>
          <w:rFonts w:ascii="Courier New" w:hAnsi="Courier New"/>
        </w:rPr>
      </w:pPr>
      <w:r>
        <w:rPr>
          <w:rFonts w:ascii="Courier New" w:hAnsi="Courier New"/>
        </w:rPr>
        <w:t>-No utilizar aparatos a pila (ej.: juguetes) cuando pueden ser reemplazados por otros.</w:t>
      </w:r>
    </w:p>
    <w:p>
      <w:pPr>
        <w:pStyle w:val="P14"/>
        <w:ind w:left="561"/>
      </w:pPr>
    </w:p>
    <w:p>
      <w:pPr>
        <w:pStyle w:val="P11"/>
        <w:ind w:left="561"/>
        <w:rPr>
          <w:rFonts w:ascii="Courier New" w:hAnsi="Courier New"/>
          <w:sz w:val="24"/>
          <w:szCs w:val="24"/>
        </w:rPr>
      </w:pPr>
      <w:r>
        <w:rPr>
          <w:rFonts w:ascii="Courier New" w:hAnsi="Courier New"/>
          <w:sz w:val="24"/>
          <w:szCs w:val="24"/>
        </w:rPr>
        <w:t>Que evaluado el Proyecto de Ordenanza por la Comisión de Salud y Medio Ambiente, la misma emite despacho favorable, aprobado por unanimidad en Sesión Ordinaria del día 12 de Noviembre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pStyle w:val="P3"/>
        <w:ind w:hanging="561" w:left="561"/>
        <w:jc w:val="both"/>
        <w:rPr>
          <w:rFonts w:ascii="Courier New" w:hAnsi="Courier New"/>
          <w:b w:val="1"/>
          <w:bCs w:val="1"/>
        </w:rPr>
      </w:pPr>
      <w:r>
        <w:rPr>
          <w:rFonts w:ascii="Courier New" w:hAnsi="Courier New"/>
          <w:u w:val="single"/>
        </w:rPr>
        <w:t>Art.1</w:t>
      </w:r>
      <w:r>
        <w:rPr>
          <w:rFonts w:ascii="Courier New" w:hAnsi="Courier New"/>
        </w:rPr>
        <w:t>:</w:t>
      </w:r>
      <w:r>
        <w:rPr>
          <w:rFonts w:ascii="Courier New" w:hAnsi="Courier New"/>
          <w:b w:val="0"/>
          <w:bCs w:val="0"/>
        </w:rPr>
        <w:t xml:space="preserve"> </w:t>
      </w:r>
      <w:r>
        <w:rPr>
          <w:rFonts w:ascii="Courier New" w:hAnsi="Courier New"/>
        </w:rPr>
        <w:t>ESTABLÉCESE</w:t>
      </w:r>
      <w:r>
        <w:rPr>
          <w:rFonts w:ascii="Courier New" w:hAnsi="Courier New"/>
          <w:b w:val="0"/>
          <w:bCs w:val="0"/>
        </w:rPr>
        <w:t xml:space="preserve"> a partir de los ciento veinte (120) días de la fecha de promulgación de la presente ordenanza, la recolección y disposición final de pilas y/o micropilas en forma diferenciada del resto de los residuos sólidos domiciliarios, se realizara en todos los casos de acuerdo a la forma que se determina a continuación.</w:t>
      </w:r>
      <w:r>
        <w:rPr>
          <w:rFonts w:ascii="Courier New" w:hAnsi="Courier New"/>
          <w:b w:val="0"/>
          <w:bCs w:val="0"/>
        </w:rPr>
        <w:t>-</w:t>
      </w:r>
      <w:r>
        <w:rPr>
          <w:rFonts w:ascii="Courier New" w:hAnsi="Courier New"/>
          <w:b w:val="0"/>
          <w:bCs w:val="0"/>
        </w:rPr>
        <w:t xml:space="preserve"> </w:t>
      </w:r>
    </w:p>
    <w:p>
      <w:pPr>
        <w:jc w:val="both"/>
        <w:rPr>
          <w:rFonts w:ascii="Courier New" w:hAnsi="Courier New"/>
        </w:rPr>
      </w:pPr>
    </w:p>
    <w:p>
      <w:pPr>
        <w:ind w:hanging="561" w:left="561"/>
        <w:jc w:val="both"/>
        <w:rPr>
          <w:rFonts w:ascii="Courier New" w:hAnsi="Courier New"/>
        </w:rPr>
      </w:pPr>
      <w:r>
        <w:rPr>
          <w:rFonts w:ascii="Courier New" w:hAnsi="Courier New"/>
          <w:b w:val="1"/>
          <w:bCs w:val="1"/>
          <w:u w:val="single"/>
        </w:rPr>
        <w:t>A</w:t>
      </w:r>
      <w:r>
        <w:rPr>
          <w:rFonts w:ascii="Courier New" w:hAnsi="Courier New"/>
          <w:b w:val="1"/>
          <w:bCs w:val="1"/>
          <w:u w:val="single"/>
        </w:rPr>
        <w:t>rt.2</w:t>
      </w:r>
      <w:r>
        <w:rPr>
          <w:rFonts w:ascii="Courier New" w:hAnsi="Courier New"/>
          <w:b w:val="1"/>
          <w:bCs w:val="1"/>
        </w:rPr>
        <w:t>:</w:t>
      </w:r>
      <w:r>
        <w:rPr>
          <w:rFonts w:ascii="Courier New" w:hAnsi="Courier New"/>
        </w:rPr>
        <w:t xml:space="preserve"> </w:t>
      </w:r>
      <w:r>
        <w:rPr>
          <w:rFonts w:ascii="Courier New" w:hAnsi="Courier New"/>
          <w:b w:val="1"/>
          <w:bCs w:val="1"/>
        </w:rPr>
        <w:t>A</w:t>
      </w:r>
      <w:r>
        <w:rPr>
          <w:rFonts w:ascii="Courier New" w:hAnsi="Courier New"/>
        </w:rPr>
        <w:t xml:space="preserve"> los fines dispuestos en el Art. Precedente entiéndase   por   pilas   y/o  micropilas  a  aquellos </w:t>
      </w:r>
    </w:p>
    <w:p>
      <w:pPr>
        <w:ind w:hanging="561" w:left="561"/>
        <w:jc w:val="right"/>
        <w:rPr>
          <w:rFonts w:ascii="Courier New" w:hAnsi="Courier New"/>
        </w:rPr>
      </w:pPr>
      <w:r>
        <w:rPr>
          <w:rFonts w:ascii="Courier New" w:hAnsi="Courier New"/>
        </w:rPr>
        <w:t>...///</w:t>
      </w:r>
    </w:p>
    <w:p>
      <w:pPr>
        <w:ind w:hanging="561" w:left="561"/>
        <w:jc w:val="both"/>
        <w:rPr>
          <w:rFonts w:ascii="Courier New" w:hAnsi="Courier New"/>
          <w:b w:val="1"/>
          <w:bCs w:val="1"/>
          <w:u w:val="single"/>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p>
    <w:p>
      <w:pPr>
        <w:ind w:hanging="561" w:left="561"/>
        <w:jc w:val="both"/>
        <w:rPr>
          <w:rFonts w:ascii="Courier New" w:hAnsi="Courier New"/>
        </w:rPr>
      </w:pPr>
      <w:r>
        <w:rPr>
          <w:rFonts w:ascii="Courier New" w:hAnsi="Courier New"/>
        </w:rPr>
        <w:t>...///6.-</w:t>
      </w:r>
    </w:p>
    <w:p>
      <w:pPr>
        <w:ind w:hanging="561" w:left="561"/>
        <w:jc w:val="both"/>
        <w:rPr>
          <w:rFonts w:ascii="Courier New" w:hAnsi="Courier New"/>
        </w:rPr>
      </w:pPr>
    </w:p>
    <w:p>
      <w:pPr>
        <w:pStyle w:val="P13"/>
      </w:pPr>
      <w:r>
        <w:t>elementos generadores de energía de tamaño reducido, que comúnmente son utilizados en celulares, audífonos, relojes, radios, marcapasos, calculadoras, juguetes, etc, y en cuya fabricación se emplean elementos tales como MERCURIO, ZINC, PLATA, LITIO, CADMIO.</w:t>
      </w:r>
    </w:p>
    <w:p>
      <w:pPr>
        <w:ind w:hanging="561" w:left="561"/>
        <w:jc w:val="both"/>
        <w:rPr>
          <w:rFonts w:ascii="Courier New" w:hAnsi="Courier New"/>
          <w:b w:val="1"/>
          <w:bCs w:val="1"/>
          <w:u w:val="single"/>
        </w:rPr>
      </w:pPr>
    </w:p>
    <w:p>
      <w:pPr>
        <w:ind w:hanging="561" w:left="561"/>
        <w:jc w:val="both"/>
        <w:rPr>
          <w:rStyle w:val="C4"/>
          <w:rFonts w:ascii="Courier New" w:hAnsi="Courier New"/>
          <w:i w:val="0"/>
          <w:iCs w:val="0"/>
        </w:rPr>
      </w:pPr>
      <w:r>
        <w:rPr>
          <w:rFonts w:ascii="Courier New" w:hAnsi="Courier New"/>
          <w:b w:val="1"/>
          <w:bCs w:val="1"/>
          <w:u w:val="single"/>
        </w:rPr>
        <w:t>A</w:t>
      </w:r>
      <w:r>
        <w:rPr>
          <w:rFonts w:ascii="Courier New" w:hAnsi="Courier New"/>
          <w:b w:val="1"/>
          <w:bCs w:val="1"/>
          <w:u w:val="single"/>
        </w:rPr>
        <w:t>rt.</w:t>
      </w:r>
      <w:r>
        <w:rPr>
          <w:rFonts w:ascii="Courier New" w:hAnsi="Courier New"/>
          <w:b w:val="1"/>
          <w:bCs w:val="1"/>
          <w:u w:val="single"/>
        </w:rPr>
        <w:t>3</w:t>
      </w:r>
      <w:r>
        <w:rPr>
          <w:rFonts w:ascii="Courier New" w:hAnsi="Courier New"/>
          <w:b w:val="1"/>
          <w:bCs w:val="1"/>
        </w:rPr>
        <w:t>:</w:t>
      </w:r>
      <w:r>
        <w:rPr>
          <w:rFonts w:ascii="Courier New" w:hAnsi="Courier New"/>
        </w:rPr>
        <w:t xml:space="preserve"> </w:t>
      </w:r>
      <w:r>
        <w:rPr>
          <w:rFonts w:ascii="Courier New" w:hAnsi="Courier New"/>
          <w:b w:val="1"/>
          <w:bCs w:val="1"/>
        </w:rPr>
        <w:t>PARA</w:t>
      </w:r>
      <w:r>
        <w:rPr>
          <w:rFonts w:ascii="Courier New" w:hAnsi="Courier New"/>
        </w:rPr>
        <w:t xml:space="preserve"> su almacenamiento transitorio, como paso previo a su disposición final, se dispondrán recipientes en distintas Áreas Municipales, supermercados, relojerías y comercios que vendan pilas.- </w:t>
      </w:r>
    </w:p>
    <w:p>
      <w:pPr>
        <w:jc w:val="both"/>
        <w:rPr>
          <w:rStyle w:val="C4"/>
          <w:rFonts w:ascii="Courier New" w:hAnsi="Courier New"/>
          <w:i w:val="0"/>
          <w:iCs w:val="0"/>
        </w:rPr>
      </w:pPr>
    </w:p>
    <w:p>
      <w:pPr>
        <w:ind w:hanging="561" w:left="561"/>
        <w:jc w:val="both"/>
        <w:rPr>
          <w:rStyle w:val="C4"/>
          <w:rFonts w:ascii="Courier New" w:hAnsi="Courier New"/>
          <w:i w:val="0"/>
          <w:iCs w:val="0"/>
        </w:rPr>
      </w:pPr>
      <w:r>
        <w:rPr>
          <w:rStyle w:val="C4"/>
          <w:rFonts w:ascii="Courier New" w:hAnsi="Courier New"/>
          <w:b w:val="1"/>
          <w:i w:val="0"/>
          <w:bCs w:val="1"/>
          <w:iCs w:val="0"/>
          <w:u w:val="single"/>
        </w:rPr>
        <w:t>Art.</w:t>
      </w:r>
      <w:r>
        <w:rPr>
          <w:rStyle w:val="C4"/>
          <w:rFonts w:ascii="Courier New" w:hAnsi="Courier New"/>
          <w:b w:val="1"/>
          <w:i w:val="0"/>
          <w:bCs w:val="1"/>
          <w:iCs w:val="0"/>
          <w:u w:val="single"/>
        </w:rPr>
        <w:t>4</w:t>
      </w:r>
      <w:r>
        <w:rPr>
          <w:rStyle w:val="C4"/>
          <w:rFonts w:ascii="Courier New" w:hAnsi="Courier New"/>
          <w:b w:val="1"/>
          <w:i w:val="0"/>
          <w:bCs w:val="1"/>
          <w:iCs w:val="0"/>
        </w:rPr>
        <w:t>:</w:t>
      </w:r>
      <w:r>
        <w:rPr>
          <w:rStyle w:val="C4"/>
          <w:rFonts w:ascii="Courier New" w:hAnsi="Courier New"/>
          <w:i w:val="0"/>
          <w:iCs w:val="0"/>
        </w:rPr>
        <w:t xml:space="preserve"> </w:t>
      </w:r>
      <w:r>
        <w:rPr>
          <w:rStyle w:val="C4"/>
          <w:rFonts w:ascii="Courier New" w:hAnsi="Courier New"/>
          <w:b w:val="1"/>
          <w:i w:val="0"/>
          <w:bCs w:val="1"/>
          <w:iCs w:val="0"/>
        </w:rPr>
        <w:t>El</w:t>
      </w:r>
      <w:r>
        <w:rPr>
          <w:rStyle w:val="C4"/>
          <w:rFonts w:ascii="Courier New" w:hAnsi="Courier New"/>
          <w:i w:val="0"/>
          <w:iCs w:val="0"/>
        </w:rPr>
        <w:t xml:space="preserve"> Departamento Ejecutivo deberá firmar convenio con instituciones y/o empresas privadas encargadas de la recolección, manipulación, traslado, tratamiento y disposición final de las pilas por tratarse de RESIDUOS URBANOS PELIGROSOS.</w:t>
      </w:r>
      <w:r>
        <w:rPr>
          <w:rStyle w:val="C4"/>
          <w:rFonts w:ascii="Courier New" w:hAnsi="Courier New"/>
          <w:i w:val="0"/>
          <w:iCs w:val="0"/>
        </w:rPr>
        <w:t>-</w:t>
      </w:r>
    </w:p>
    <w:p>
      <w:pPr>
        <w:jc w:val="both"/>
        <w:rPr>
          <w:rStyle w:val="C4"/>
          <w:rFonts w:ascii="Courier New" w:hAnsi="Courier New"/>
          <w:i w:val="0"/>
          <w:iCs w:val="0"/>
        </w:rPr>
      </w:pPr>
    </w:p>
    <w:p>
      <w:pPr>
        <w:ind w:hanging="561" w:left="561"/>
        <w:jc w:val="both"/>
        <w:rPr>
          <w:rStyle w:val="C4"/>
          <w:rFonts w:ascii="Courier New" w:hAnsi="Courier New"/>
          <w:i w:val="0"/>
          <w:iCs w:val="0"/>
        </w:rPr>
      </w:pPr>
      <w:r>
        <w:rPr>
          <w:rStyle w:val="C4"/>
          <w:rFonts w:ascii="Courier New" w:hAnsi="Courier New"/>
          <w:b w:val="1"/>
          <w:i w:val="0"/>
          <w:bCs w:val="1"/>
          <w:iCs w:val="0"/>
          <w:u w:val="single"/>
        </w:rPr>
        <w:t>Art.</w:t>
      </w:r>
      <w:r>
        <w:rPr>
          <w:rStyle w:val="C4"/>
          <w:rFonts w:ascii="Courier New" w:hAnsi="Courier New"/>
          <w:b w:val="1"/>
          <w:i w:val="0"/>
          <w:bCs w:val="1"/>
          <w:iCs w:val="0"/>
          <w:u w:val="single"/>
        </w:rPr>
        <w:t>5</w:t>
      </w:r>
      <w:r>
        <w:rPr>
          <w:rStyle w:val="C4"/>
          <w:rFonts w:ascii="Courier New" w:hAnsi="Courier New"/>
          <w:b w:val="1"/>
          <w:i w:val="0"/>
          <w:bCs w:val="1"/>
          <w:iCs w:val="0"/>
        </w:rPr>
        <w:t>:</w:t>
      </w:r>
      <w:r>
        <w:rPr>
          <w:rStyle w:val="C4"/>
          <w:rFonts w:ascii="Courier New" w:hAnsi="Courier New"/>
          <w:i w:val="0"/>
          <w:iCs w:val="0"/>
        </w:rPr>
        <w:t xml:space="preserve"> </w:t>
      </w:r>
      <w:r>
        <w:rPr>
          <w:rStyle w:val="C4"/>
          <w:rFonts w:ascii="Courier New" w:hAnsi="Courier New"/>
          <w:b w:val="1"/>
          <w:i w:val="0"/>
          <w:bCs w:val="1"/>
          <w:iCs w:val="0"/>
        </w:rPr>
        <w:t>CADA</w:t>
      </w:r>
      <w:r>
        <w:rPr>
          <w:rStyle w:val="C4"/>
          <w:rFonts w:ascii="Courier New" w:hAnsi="Courier New"/>
          <w:i w:val="0"/>
          <w:iCs w:val="0"/>
        </w:rPr>
        <w:t xml:space="preserve"> sesenta (60) días o cuando la Secretaria de Obras y Servicio Públicos lo justifique retirara las pilas almacenadas en recipientes, las que serán transportadas por la empresa que firme convenio.</w:t>
      </w:r>
      <w:r>
        <w:rPr>
          <w:rStyle w:val="C4"/>
          <w:rFonts w:ascii="Courier New" w:hAnsi="Courier New"/>
          <w:i w:val="0"/>
          <w:iCs w:val="0"/>
        </w:rPr>
        <w:t>-</w:t>
      </w:r>
    </w:p>
    <w:p>
      <w:pPr>
        <w:jc w:val="both"/>
        <w:rPr>
          <w:rStyle w:val="C4"/>
          <w:rFonts w:ascii="Courier New" w:hAnsi="Courier New"/>
          <w:i w:val="0"/>
          <w:iCs w:val="0"/>
        </w:rPr>
      </w:pPr>
    </w:p>
    <w:p>
      <w:pPr>
        <w:ind w:hanging="561" w:left="561"/>
        <w:jc w:val="both"/>
        <w:rPr>
          <w:rFonts w:ascii="Courier New" w:hAnsi="Courier New"/>
        </w:rPr>
      </w:pPr>
      <w:r>
        <w:rPr>
          <w:rStyle w:val="C4"/>
          <w:rFonts w:ascii="Courier New" w:hAnsi="Courier New"/>
          <w:b w:val="1"/>
          <w:i w:val="0"/>
          <w:bCs w:val="1"/>
          <w:iCs w:val="0"/>
          <w:u w:val="single"/>
        </w:rPr>
        <w:t>Art.</w:t>
      </w:r>
      <w:r>
        <w:rPr>
          <w:rStyle w:val="C4"/>
          <w:rFonts w:ascii="Courier New" w:hAnsi="Courier New"/>
          <w:b w:val="1"/>
          <w:i w:val="0"/>
          <w:bCs w:val="1"/>
          <w:iCs w:val="0"/>
          <w:u w:val="single"/>
        </w:rPr>
        <w:t>6</w:t>
      </w:r>
      <w:r>
        <w:rPr>
          <w:rStyle w:val="C4"/>
          <w:rFonts w:ascii="Courier New" w:hAnsi="Courier New"/>
          <w:b w:val="1"/>
          <w:i w:val="0"/>
          <w:bCs w:val="1"/>
          <w:iCs w:val="0"/>
        </w:rPr>
        <w:t>:</w:t>
      </w:r>
      <w:r>
        <w:rPr>
          <w:rStyle w:val="C4"/>
          <w:rFonts w:ascii="Courier New" w:hAnsi="Courier New"/>
          <w:i w:val="0"/>
          <w:iCs w:val="0"/>
        </w:rPr>
        <w:t xml:space="preserve"> </w:t>
      </w:r>
      <w:r>
        <w:rPr>
          <w:rStyle w:val="C4"/>
          <w:rFonts w:ascii="Courier New" w:hAnsi="Courier New"/>
          <w:b w:val="1"/>
          <w:i w:val="0"/>
          <w:bCs w:val="1"/>
          <w:iCs w:val="0"/>
        </w:rPr>
        <w:t>SANCIONADA</w:t>
      </w:r>
      <w:r>
        <w:rPr>
          <w:rStyle w:val="C4"/>
          <w:rFonts w:ascii="Courier New" w:hAnsi="Courier New"/>
          <w:i w:val="0"/>
          <w:iCs w:val="0"/>
        </w:rPr>
        <w:t xml:space="preserve"> la presente ordenanza, el Departamento Ejecutivo a través del área Medio Ambiente implementara una campaña de difusión por los medios de comunicación social y deberá hacer llegar a cada hogar en forma conjunta con el cedulón de tasa Municipal un folletín informativo sobre el tema.</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7</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NOVIEMBRE DEL AÑO DOS MIL OCHO.-</w:t>
      </w: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24F459C5"/>
    <w:multiLevelType w:val="hybridMultilevel"/>
    <w:lvl w:ilvl="0" w:tplc="73E50F7F">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06E3D0E1">
      <w:start w:val="1"/>
      <w:numFmt w:val="bullet"/>
      <w:suff w:val="tab"/>
      <w:lvlText w:val="o"/>
      <w:lvlJc w:val="left"/>
      <w:pPr>
        <w:ind w:hanging="360" w:left="1440"/>
        <w:tabs>
          <w:tab w:val="num" w:pos="1440" w:leader="none"/>
        </w:tabs>
      </w:pPr>
      <w:rPr>
        <w:rFonts w:ascii="Courier New" w:hAnsi="Courier New"/>
      </w:rPr>
    </w:lvl>
    <w:lvl w:ilvl="2" w:tplc="32091B18">
      <w:start w:val="1"/>
      <w:numFmt w:val="bullet"/>
      <w:suff w:val="tab"/>
      <w:lvlText w:val=""/>
      <w:lvlJc w:val="left"/>
      <w:pPr>
        <w:ind w:hanging="360" w:left="2160"/>
        <w:tabs>
          <w:tab w:val="num" w:pos="2160" w:leader="none"/>
        </w:tabs>
      </w:pPr>
      <w:rPr>
        <w:rFonts w:ascii="Wingdings" w:hAnsi="Wingdings"/>
      </w:rPr>
    </w:lvl>
    <w:lvl w:ilvl="3" w:tplc="0C83BDD9">
      <w:start w:val="1"/>
      <w:numFmt w:val="bullet"/>
      <w:suff w:val="tab"/>
      <w:lvlText w:val=""/>
      <w:lvlJc w:val="left"/>
      <w:pPr>
        <w:ind w:hanging="360" w:left="2880"/>
        <w:tabs>
          <w:tab w:val="num" w:pos="2880" w:leader="none"/>
        </w:tabs>
      </w:pPr>
      <w:rPr>
        <w:rFonts w:ascii="Symbol" w:hAnsi="Symbol"/>
      </w:rPr>
    </w:lvl>
    <w:lvl w:ilvl="4" w:tplc="50750871">
      <w:start w:val="1"/>
      <w:numFmt w:val="bullet"/>
      <w:suff w:val="tab"/>
      <w:lvlText w:val="o"/>
      <w:lvlJc w:val="left"/>
      <w:pPr>
        <w:ind w:hanging="360" w:left="3600"/>
        <w:tabs>
          <w:tab w:val="num" w:pos="3600" w:leader="none"/>
        </w:tabs>
      </w:pPr>
      <w:rPr>
        <w:rFonts w:ascii="Courier New" w:hAnsi="Courier New"/>
      </w:rPr>
    </w:lvl>
    <w:lvl w:ilvl="5" w:tplc="1B198492">
      <w:start w:val="1"/>
      <w:numFmt w:val="bullet"/>
      <w:suff w:val="tab"/>
      <w:lvlText w:val=""/>
      <w:lvlJc w:val="left"/>
      <w:pPr>
        <w:ind w:hanging="360" w:left="4320"/>
        <w:tabs>
          <w:tab w:val="num" w:pos="4320" w:leader="none"/>
        </w:tabs>
      </w:pPr>
      <w:rPr>
        <w:rFonts w:ascii="Wingdings" w:hAnsi="Wingdings"/>
      </w:rPr>
    </w:lvl>
    <w:lvl w:ilvl="6" w:tplc="3C7950C3">
      <w:start w:val="1"/>
      <w:numFmt w:val="bullet"/>
      <w:suff w:val="tab"/>
      <w:lvlText w:val=""/>
      <w:lvlJc w:val="left"/>
      <w:pPr>
        <w:ind w:hanging="360" w:left="5040"/>
        <w:tabs>
          <w:tab w:val="num" w:pos="5040" w:leader="none"/>
        </w:tabs>
      </w:pPr>
      <w:rPr>
        <w:rFonts w:ascii="Symbol" w:hAnsi="Symbol"/>
      </w:rPr>
    </w:lvl>
    <w:lvl w:ilvl="7" w:tplc="3B580B78">
      <w:start w:val="1"/>
      <w:numFmt w:val="bullet"/>
      <w:suff w:val="tab"/>
      <w:lvlText w:val="o"/>
      <w:lvlJc w:val="left"/>
      <w:pPr>
        <w:ind w:hanging="360" w:left="5760"/>
        <w:tabs>
          <w:tab w:val="num" w:pos="5760" w:leader="none"/>
        </w:tabs>
      </w:pPr>
      <w:rPr>
        <w:rFonts w:ascii="Courier New" w:hAnsi="Courier New"/>
      </w:rPr>
    </w:lvl>
    <w:lvl w:ilvl="8" w:tplc="3C90E745">
      <w:start w:val="1"/>
      <w:numFmt w:val="bullet"/>
      <w:suff w:val="tab"/>
      <w:lvlText w:val=""/>
      <w:lvlJc w:val="left"/>
      <w:pPr>
        <w:ind w:hanging="360" w:left="6480"/>
        <w:tabs>
          <w:tab w:val="num" w:pos="6480" w:leader="none"/>
        </w:tabs>
      </w:pPr>
      <w:rPr>
        <w:rFonts w:ascii="Wingdings" w:hAnsi="Wingdings"/>
      </w:rPr>
    </w:lvl>
  </w:abstractNum>
  <w:abstractNum w:abstractNumId="7">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8">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0">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3">
    <w:nsid w:val="6D300CA7"/>
    <w:multiLevelType w:val="hybridMultilevel"/>
    <w:lvl w:ilvl="0" w:tplc="69E7EABD">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5">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6">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1"/>
  </w:num>
  <w:num w:numId="2">
    <w:abstractNumId w:val="15"/>
  </w:num>
  <w:num w:numId="3">
    <w:abstractNumId w:val="11"/>
  </w:num>
  <w:num w:numId="4">
    <w:abstractNumId w:val="2"/>
  </w:num>
  <w:num w:numId="5">
    <w:abstractNumId w:val="5"/>
  </w:num>
  <w:num w:numId="6">
    <w:abstractNumId w:val="10"/>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3"/>
  </w:num>
  <w:num w:numId="13">
    <w:abstractNumId w:val="8"/>
  </w:num>
  <w:num w:numId="14">
    <w:abstractNumId w:val="9"/>
  </w:num>
  <w:num w:numId="15">
    <w:abstractNumId w:val="6"/>
  </w:num>
  <w:num w:numId="16">
    <w:abstractNumId w:val="0"/>
    <w:lvlOverride w:ilvl="0">
      <w:lvl w:ilvl="0" w:tplc="24D8C193">
        <w:start w:val="0"/>
        <w:numFmt w:val="bullet"/>
        <w:suff w:val="tab"/>
        <w:lvlText w:val=""/>
        <w:legacy w:legacy="1" w:legacyIndent="360" w:legacySpace="0"/>
        <w:lvlJc w:val="left"/>
        <w:pPr>
          <w:ind w:hanging="360" w:left="720"/>
        </w:pPr>
        <w:rPr>
          <w:rFonts w:ascii="Symbol" w:hAnsi="Symbol"/>
        </w:rPr>
      </w:lvl>
    </w:lvlOverride>
  </w:num>
  <w:num w:numId="17">
    <w:abstractNumId w:val="13"/>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2026-07-09T18:22:44Z</dcterms:created>
  <cp:lastModifiedBy>Federico Parisi</cp:lastModifiedBy>
  <cp:lastPrinted>2008-11-17T02:44:00Z</cp:lastPrinted>
  <dcterms:modified xsi:type="dcterms:W3CDTF">2026-07-09T18:22:44Z</dcterms:modified>
  <cp:revision>2</cp:revision>
  <dc:title>PROYECTO DE ORDENANZA</dc:title>
</cp:coreProperties>
</file>