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ab/>
        <w:tab/>
        <w:tab/>
        <w:tab/>
        <w:tab/>
        <w:tab/>
        <w:tab/>
        <w:tab/>
        <w:tab/>
        <w:tab/>
        <w:tab/>
        <w:tab/>
      </w: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828</w:t>
      </w:r>
      <w:r>
        <w:rPr>
          <w:rFonts w:ascii="Courier New" w:hAnsi="Courier New"/>
          <w:b w:val="1"/>
          <w:bCs w:val="1"/>
          <w:u w:val="single"/>
        </w:rPr>
        <w:t>3</w:t>
      </w:r>
    </w:p>
    <w:p>
      <w:pPr>
        <w:jc w:val="center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>Visto: La Ordenanza N° 6823</w:t>
      </w:r>
      <w:r>
        <w:rPr>
          <w:rFonts w:ascii="Courier New" w:hAnsi="Courier New"/>
          <w:b w:val="0"/>
          <w:bCs w:val="0"/>
        </w:rPr>
        <w:t>; y</w:t>
      </w:r>
    </w:p>
    <w:p>
      <w:pPr>
        <w:jc w:val="center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/>
    <w:p>
      <w:pPr>
        <w:pStyle w:val="P11"/>
        <w:ind w:left="56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Que esta Ordenanza prohibe la venta y/o suministro gratuito al público de especialidades, drogas o preparados farmacéuticos de cualquier naturaleza, en negocios o locales no autorizados por la Ley Provincial N° 8.302, Ley de Farmacias, Droguerías Farmacéuticas, Laboratorios Farmacéuticos y Herboristerías; </w:t>
      </w:r>
    </w:p>
    <w:p>
      <w:pPr>
        <w:ind w:left="561"/>
        <w:jc w:val="both"/>
        <w:rPr>
          <w:rFonts w:ascii="Courier New" w:hAnsi="Courier New"/>
        </w:rPr>
      </w:pPr>
    </w:p>
    <w:p>
      <w:pPr>
        <w:pStyle w:val="P13"/>
      </w:pPr>
      <w:r>
        <w:t>Que es obligación de las Autoridades Locales velar por la salud y seguridad de la población;</w:t>
      </w:r>
    </w:p>
    <w:p>
      <w:pPr>
        <w:pStyle w:val="P13"/>
      </w:pPr>
    </w:p>
    <w:p>
      <w:pPr>
        <w:pStyle w:val="P13"/>
      </w:pPr>
      <w:r>
        <w:t>Que los medicamentos son un bien social que deben expenderse por Profesionales Competentes;</w:t>
      </w:r>
    </w:p>
    <w:p>
      <w:pPr>
        <w:pStyle w:val="P13"/>
      </w:pPr>
    </w:p>
    <w:p>
      <w:pPr>
        <w:pStyle w:val="P13"/>
      </w:pPr>
      <w:r>
        <w:t>Que es necesario realizar acciones preventivas en cumplimiento de esta obligación;</w:t>
      </w:r>
    </w:p>
    <w:p>
      <w:pPr>
        <w:pStyle w:val="P13"/>
      </w:pPr>
    </w:p>
    <w:p>
      <w:pPr>
        <w:pStyle w:val="P13"/>
      </w:pPr>
      <w:r>
        <w:t>Que la comunicación es una herramienta útil a estos fines;</w:t>
      </w:r>
    </w:p>
    <w:p>
      <w:pPr>
        <w:pStyle w:val="P13"/>
      </w:pPr>
    </w:p>
    <w:p>
      <w:pPr>
        <w:pStyle w:val="P13"/>
      </w:pPr>
      <w:r>
        <w:t>Que es necesario dar un marco legal acorde;</w:t>
      </w:r>
    </w:p>
    <w:p>
      <w:pPr>
        <w:jc w:val="both"/>
        <w:rPr>
          <w:rFonts w:ascii="Courier New" w:hAnsi="Courier New"/>
        </w:rPr>
      </w:pPr>
    </w:p>
    <w:p>
      <w:pPr>
        <w:rPr>
          <w:rFonts w:ascii="Courier New" w:hAnsi="Courier New"/>
        </w:rPr>
      </w:pPr>
      <w:r>
        <w:rPr>
          <w:rFonts w:ascii="Courier New" w:hAnsi="Courier New"/>
          <w:sz w:val="24"/>
          <w:szCs w:val="24"/>
        </w:rPr>
        <w:t xml:space="preserve">Que evaluado el </w:t>
      </w:r>
      <w:r>
        <w:t>Proyecto de Ordenanza</w:t>
      </w:r>
      <w:r>
        <w:rPr>
          <w:rFonts w:ascii="Courier New" w:hAnsi="Courier New"/>
          <w:sz w:val="24"/>
          <w:szCs w:val="24"/>
        </w:rPr>
        <w:t xml:space="preserve">, </w:t>
      </w:r>
      <w:r>
        <w:t xml:space="preserve">por la Comisión de Salud y Medio Ambiente, </w:t>
      </w:r>
      <w:r>
        <w:rPr>
          <w:rFonts w:ascii="Courier New" w:hAnsi="Courier New"/>
          <w:sz w:val="24"/>
          <w:szCs w:val="24"/>
        </w:rPr>
        <w:t>la misma emite despacho favorable, aprobado por unanimidad en Sesión Ordinaria del día 19 de Noviembre de 2008.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pStyle w:val="P8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ind w:hanging="748" w:left="748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48" w:left="748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IMPLEM</w:t>
      </w:r>
      <w:r>
        <w:rPr>
          <w:rFonts w:ascii="Courier New" w:hAnsi="Courier New"/>
          <w:b w:val="1"/>
          <w:bCs w:val="1"/>
        </w:rPr>
        <w:t>ÉNTE</w:t>
      </w:r>
      <w:r>
        <w:rPr>
          <w:rFonts w:ascii="Courier New" w:hAnsi="Courier New"/>
          <w:b w:val="1"/>
          <w:bCs w:val="1"/>
        </w:rPr>
        <w:t xml:space="preserve">SE </w:t>
      </w:r>
      <w:r>
        <w:rPr>
          <w:rFonts w:ascii="Courier New" w:hAnsi="Courier New"/>
        </w:rPr>
        <w:t xml:space="preserve">el uso obligatorio de un cartel, diseñado por el Departamento Ejecutivo, en lugar visible para el consumidor, con la siguiente leyenda “EN ESTE LOCAL ESTÁ PROHIBIDA LA VENTA Y/O SUMINISTRO GRATUITO DE MEDICAMENTOS O FARMACOS, INCLUIDOS LOS DE VENTA   LIBRE”   en   todos  los  comercios  de  rubro: </w:t>
      </w:r>
    </w:p>
    <w:p>
      <w:pPr>
        <w:ind w:hanging="561" w:left="561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561"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Kiosco, Despensas, Supermercados y otros que la Autoridad de aplicación considere pertinentes.-</w:t>
      </w: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PROTOCOLÍCESE,</w:t>
      </w:r>
      <w:r>
        <w:rPr>
          <w:rFonts w:ascii="Courier New" w:hAnsi="Courier New"/>
        </w:rPr>
        <w:t xml:space="preserve">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DIECINUEVE DIAS DEL MES DE NOVIEMBRE DEL AÑO DOS MIL OCHO.-</w:t>
      </w:r>
    </w:p>
    <w:p>
      <w:pPr>
        <w:pStyle w:val="P15"/>
        <w:ind w:left="0"/>
      </w:pPr>
    </w:p>
    <w:p>
      <w:pPr>
        <w:pStyle w:val="P15"/>
        <w:ind w:left="0"/>
      </w:pPr>
    </w:p>
    <w:p>
      <w:pPr>
        <w:pStyle w:val="P15"/>
        <w:ind w:left="0"/>
      </w:pPr>
    </w:p>
    <w:p>
      <w:pPr>
        <w:pStyle w:val="P15"/>
        <w:ind w:left="0"/>
      </w:pPr>
    </w:p>
    <w:sectPr>
      <w:type w:val="continuous"/>
      <w:pgSz w:w="11908" w:h="16833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FFFFFFFE"/>
    <w:multiLevelType w:val="multilevel"/>
    <w:lvl w:ilvl="0">
      <w:start w:val="0"/>
      <w:numFmt w:val="decimal"/>
      <w:suff w:val="tab"/>
      <w:lvlText w:val="*"/>
      <w:lvlJc w:val="left"/>
      <w:pPr/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12C66746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5"/>
        <w:tabs>
          <w:tab w:val="num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">
    <w:nsid w:val="13AE228E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4">
    <w:nsid w:val="21A02CE3"/>
    <w:multiLevelType w:val="multilevel"/>
    <w:lvl w:ilvl="0">
      <w:start w:val="1"/>
      <w:numFmt w:val="decimal"/>
      <w:suff w:val="tab"/>
      <w:lvlText w:val="%1)"/>
      <w:lvlJc w:val="left"/>
      <w:pPr>
        <w:ind w:hanging="465" w:left="825"/>
        <w:tabs>
          <w:tab w:val="num" w:pos="8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5">
    <w:nsid w:val="222C35E3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5"/>
        <w:tabs>
          <w:tab w:val="num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6">
    <w:nsid w:val="24F459C5"/>
    <w:multiLevelType w:val="hybridMultilevel"/>
    <w:lvl w:ilvl="0" w:tplc="133195C0">
      <w:start w:val="0"/>
      <w:numFmt w:val="bullet"/>
      <w:suff w:val="tab"/>
      <w:lvlText w:val="-"/>
      <w:lvlJc w:val="left"/>
      <w:pPr>
        <w:ind w:hanging="360" w:left="720"/>
        <w:tabs>
          <w:tab w:val="num" w:pos="720" w:leader="none"/>
        </w:tabs>
      </w:pPr>
      <w:rPr>
        <w:rFonts w:ascii="Times New Roman" w:hAnsi="Times New Roman" w:cs="Times New Roman" w:eastAsia="Times New Roman"/>
      </w:rPr>
    </w:lvl>
    <w:lvl w:ilvl="1" w:tplc="2759907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</w:rPr>
    </w:lvl>
    <w:lvl w:ilvl="2" w:tplc="013E1193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66815DDF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6B17394A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/>
      </w:rPr>
    </w:lvl>
    <w:lvl w:ilvl="5" w:tplc="629BBDC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7E5CA6E1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227B587F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/>
      </w:rPr>
    </w:lvl>
    <w:lvl w:ilvl="8" w:tplc="713F5A0B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7">
    <w:nsid w:val="298208E1"/>
    <w:multiLevelType w:val="multilevel"/>
    <w:lvl w:ilvl="0">
      <w:start w:val="9"/>
      <w:numFmt w:val="lowerLetter"/>
      <w:suff w:val="tab"/>
      <w:lvlText w:val="%1)"/>
      <w:lvlJc w:val="left"/>
      <w:pPr>
        <w:ind w:hanging="360" w:left="900"/>
        <w:tabs>
          <w:tab w:val="num" w:pos="90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20"/>
        <w:tabs>
          <w:tab w:val="num" w:pos="162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40"/>
        <w:tabs>
          <w:tab w:val="num" w:pos="234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60"/>
        <w:tabs>
          <w:tab w:val="num" w:pos="306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780"/>
        <w:tabs>
          <w:tab w:val="num" w:pos="378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00"/>
        <w:tabs>
          <w:tab w:val="num" w:pos="450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20"/>
        <w:tabs>
          <w:tab w:val="num" w:pos="522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40"/>
        <w:tabs>
          <w:tab w:val="num" w:pos="594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60"/>
        <w:tabs>
          <w:tab w:val="num" w:pos="6660" w:leader="none"/>
        </w:tabs>
      </w:pPr>
      <w:rPr/>
    </w:lvl>
  </w:abstractNum>
  <w:abstractNum w:abstractNumId="8">
    <w:nsid w:val="3B642C6B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9">
    <w:nsid w:val="3DCB577F"/>
    <w:multiLevelType w:val="multilevel"/>
    <w:lvl w:ilvl="0">
      <w:start w:val="1"/>
      <w:numFmt w:val="lowerLetter"/>
      <w:suff w:val="tab"/>
      <w:lvlText w:val="%1)"/>
      <w:lvlJc w:val="left"/>
      <w:pPr>
        <w:ind w:hanging="360" w:left="1776"/>
        <w:tabs>
          <w:tab w:val="num" w:pos="1776" w:leader="none"/>
        </w:tabs>
      </w:pPr>
      <w:rPr>
        <w:b w:val="1"/>
        <w:bCs w:val="1"/>
      </w:rPr>
    </w:lvl>
    <w:lvl w:ilvl="1">
      <w:start w:val="1"/>
      <w:numFmt w:val="lowerLetter"/>
      <w:suff w:val="tab"/>
      <w:lvlText w:val="%2."/>
      <w:lvlJc w:val="left"/>
      <w:pPr>
        <w:ind w:hanging="360" w:left="2496"/>
        <w:tabs>
          <w:tab w:val="num" w:pos="249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216"/>
        <w:tabs>
          <w:tab w:val="num" w:pos="321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936"/>
        <w:tabs>
          <w:tab w:val="num" w:pos="393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656"/>
        <w:tabs>
          <w:tab w:val="num" w:pos="465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376"/>
        <w:tabs>
          <w:tab w:val="num" w:pos="537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096"/>
        <w:tabs>
          <w:tab w:val="num" w:pos="609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816"/>
        <w:tabs>
          <w:tab w:val="num" w:pos="681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536"/>
        <w:tabs>
          <w:tab w:val="num" w:pos="7536" w:leader="none"/>
        </w:tabs>
      </w:pPr>
      <w:rPr/>
    </w:lvl>
  </w:abstractNum>
  <w:abstractNum w:abstractNumId="10">
    <w:nsid w:val="44F124EF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5"/>
        <w:tabs>
          <w:tab w:val="num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1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2">
    <w:nsid w:val="59B6546B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3">
    <w:nsid w:val="6D300CA7"/>
    <w:multiLevelType w:val="hybridMultilevel"/>
    <w:lvl w:ilvl="0" w:tplc="52E13D14">
      <w:start w:val="0"/>
      <w:numFmt w:val="bullet"/>
      <w:suff w:val="tab"/>
      <w:lvlText w:val="-"/>
      <w:lvlJc w:val="left"/>
      <w:pPr>
        <w:ind w:hanging="375" w:left="936"/>
        <w:tabs>
          <w:tab w:val="num" w:pos="936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74472A0F"/>
    <w:multiLevelType w:val="multilevel"/>
    <w:lvl w:ilvl="0">
      <w:start w:val="1"/>
      <w:numFmt w:val="lowerLetter"/>
      <w:suff w:val="tab"/>
      <w:lvlText w:val="%1)"/>
      <w:lvlJc w:val="left"/>
      <w:pPr>
        <w:ind w:hanging="360" w:left="660"/>
        <w:tabs>
          <w:tab w:val="num" w:pos="66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5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6">
    <w:nsid w:val="7E711528"/>
    <w:multiLevelType w:val="multilevel"/>
    <w:lvl w:ilvl="0">
      <w:start w:val="1"/>
      <w:numFmt w:val="lowerLetter"/>
      <w:suff w:val="tab"/>
      <w:lvlText w:val="%1)"/>
      <w:lvlJc w:val="left"/>
      <w:pPr>
        <w:ind w:hanging="360" w:left="900"/>
        <w:tabs>
          <w:tab w:val="num" w:pos="90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num w:numId="1">
    <w:abstractNumId w:val="1"/>
  </w:num>
  <w:num w:numId="2">
    <w:abstractNumId w:val="15"/>
  </w:num>
  <w:num w:numId="3">
    <w:abstractNumId w:val="11"/>
  </w:num>
  <w:num w:numId="4">
    <w:abstractNumId w:val="2"/>
  </w:num>
  <w:num w:numId="5">
    <w:abstractNumId w:val="5"/>
  </w:num>
  <w:num w:numId="6">
    <w:abstractNumId w:val="10"/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3"/>
  </w:num>
  <w:num w:numId="13">
    <w:abstractNumId w:val="8"/>
  </w:num>
  <w:num w:numId="14">
    <w:abstractNumId w:val="9"/>
  </w:num>
  <w:num w:numId="15">
    <w:abstractNumId w:val="6"/>
  </w:num>
  <w:num w:numId="16">
    <w:abstractNumId w:val="0"/>
    <w:lvlOverride w:ilvl="0">
      <w:lvl w:ilvl="0" w:tplc="760B9DAD">
        <w:start w:val="0"/>
        <w:numFmt w:val="bullet"/>
        <w:suff w:val="tab"/>
        <w:lvlText w:val=""/>
        <w:legacy w:legacy="1" w:legacyIndent="360" w:legacySpace="0"/>
        <w:lvlJc w:val="left"/>
        <w:pPr>
          <w:ind w:hanging="360" w:left="720"/>
        </w:pPr>
        <w:rPr>
          <w:rFonts w:ascii="Symbol" w:hAnsi="Symbol"/>
        </w:rPr>
      </w:lvl>
    </w:lvlOverride>
  </w:num>
  <w:num w:numId="17">
    <w:abstractNumId w:val="13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Envelope Return"/>
    <w:basedOn w:val="P0"/>
    <w:next w:val="P6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7">
    <w:name w:val="Plain Text"/>
    <w:basedOn w:val="P0"/>
    <w:next w:val="P7"/>
    <w:pPr/>
    <w:rPr>
      <w:rFonts w:ascii="Courier New" w:hAnsi="Courier New"/>
      <w:sz w:val="20"/>
      <w:szCs w:val="20"/>
      <w:lang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Title"/>
    <w:basedOn w:val="P0"/>
    <w:next w:val="P9"/>
    <w:pPr>
      <w:jc w:val="center"/>
    </w:pPr>
    <w:rPr>
      <w:rFonts w:ascii="Courier New" w:hAnsi="Courier New"/>
      <w:b w:val="1"/>
      <w:bCs w:val="1"/>
    </w:rPr>
  </w:style>
  <w:style w:type="paragraph" w:styleId="P10">
    <w:name w:val="Body Text 3"/>
    <w:basedOn w:val="P0"/>
    <w:next w:val="P10"/>
    <w:pPr>
      <w:jc w:val="both"/>
    </w:pPr>
    <w:rPr>
      <w:rFonts w:ascii="Courier New" w:hAnsi="Courier New"/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sz w:val="28"/>
      <w:szCs w:val="28"/>
    </w:rPr>
  </w:style>
  <w:style w:type="paragraph" w:styleId="P12">
    <w:name w:val="Texto de globo"/>
    <w:basedOn w:val="P0"/>
    <w:next w:val="P12"/>
    <w:pPr/>
    <w:rPr>
      <w:rFonts w:ascii="Tahoma" w:hAnsi="Tahoma" w:cs="Tahoma"/>
      <w:sz w:val="16"/>
      <w:szCs w:val="16"/>
    </w:rPr>
  </w:style>
  <w:style w:type="paragraph" w:styleId="P13">
    <w:name w:val="Body Text Indent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Body Text Indent 2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Body Text Indent 3"/>
    <w:basedOn w:val="P0"/>
    <w:next w:val="P15"/>
    <w:pPr>
      <w:ind w:left="748"/>
      <w:jc w:val="both"/>
    </w:pPr>
    <w:rPr>
      <w:rFonts w:ascii="Courier New" w:hAnsi="Courier New"/>
      <w:b w:val="1"/>
      <w:bCs w:val="1"/>
    </w:rPr>
  </w:style>
  <w:style w:type="paragraph" w:styleId="P16">
    <w:name w:val="Subtitle"/>
    <w:basedOn w:val="P0"/>
    <w:next w:val="P16"/>
    <w:pPr>
      <w:jc w:val="center"/>
    </w:pPr>
    <w:rPr>
      <w:sz w:val="32"/>
      <w:szCs w:val="3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Strong"/>
    <w:basedOn w:val="C0"/>
    <w:rPr>
      <w:b w:val="1"/>
      <w:bCs w:val="1"/>
    </w:rPr>
  </w:style>
  <w:style w:type="character" w:styleId="C4">
    <w:name w:val="Emphasis"/>
    <w:basedOn w:val="C0"/>
    <w:rPr>
      <w:i w:val="1"/>
      <w:iCs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2026-07-09T18:22:25Z</dcterms:created>
  <cp:lastModifiedBy>Federico Parisi</cp:lastModifiedBy>
  <cp:lastPrinted>2008-11-20T01:29:00Z</cp:lastPrinted>
  <dcterms:modified xsi:type="dcterms:W3CDTF">2026-07-09T18:22:25Z</dcterms:modified>
  <cp:revision>2</cp:revision>
  <dc:title>PROYECTO DE ORDENANZA</dc:title>
</cp:coreProperties>
</file>