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828</w:t>
      </w:r>
      <w:r>
        <w:rPr>
          <w:rFonts w:ascii="Courier New" w:hAnsi="Courier New"/>
          <w:b w:val="1"/>
          <w:bCs w:val="1"/>
          <w:u w:val="single"/>
        </w:rPr>
        <w:t>5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La Ordenanza Nº 7.945 Presupuesto General de Recursos y Gastos de la Municipalidad de Alta Gracia</w:t>
      </w:r>
      <w:r>
        <w:rPr>
          <w:rFonts w:ascii="Courier New" w:hAnsi="Courier New"/>
          <w:b w:val="0"/>
          <w:bCs w:val="0"/>
        </w:rPr>
        <w:t>; y</w:t>
      </w:r>
    </w:p>
    <w:p/>
    <w:p/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pStyle w:val="P3"/>
        <w:rPr>
          <w:rFonts w:ascii="Courier New" w:hAnsi="Courier New"/>
        </w:rPr>
      </w:pPr>
    </w:p>
    <w:p/>
    <w:p>
      <w:pPr>
        <w:pStyle w:val="P11"/>
        <w:spacing w:lineRule="exact" w:line="340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en el marco del acuerdo al que se arribara con el SI.TRA.MAG. se prevé la incorporación a planta permanente de agentes municipales contratados;</w:t>
      </w:r>
    </w:p>
    <w:p>
      <w:pPr>
        <w:pStyle w:val="P11"/>
        <w:spacing w:lineRule="exact" w:line="340"/>
        <w:ind w:left="561"/>
        <w:rPr>
          <w:rFonts w:ascii="Courier New" w:hAnsi="Courier New"/>
          <w:sz w:val="24"/>
          <w:szCs w:val="24"/>
        </w:rPr>
      </w:pPr>
    </w:p>
    <w:p>
      <w:pPr>
        <w:pStyle w:val="P11"/>
        <w:spacing w:lineRule="exact" w:line="340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el Departamento Ejecutivo considera necesario y prioritario dar curso favorable a este compromiso, atento su permanente preocupación por los derechos del empleado público municipal y el bienestar de su grupo familiar;</w:t>
      </w:r>
    </w:p>
    <w:p>
      <w:pPr>
        <w:pStyle w:val="P11"/>
        <w:spacing w:lineRule="exact" w:line="340"/>
        <w:ind w:left="561"/>
        <w:rPr>
          <w:rFonts w:ascii="Courier New" w:hAnsi="Courier New"/>
          <w:sz w:val="24"/>
          <w:szCs w:val="24"/>
        </w:rPr>
      </w:pPr>
    </w:p>
    <w:p>
      <w:pPr>
        <w:pStyle w:val="P11"/>
        <w:spacing w:lineRule="exact" w:line="340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atento a ello es menester realizar las adecuaciones presupuestarias para proceder a dichas incorporaciones;</w:t>
      </w:r>
    </w:p>
    <w:p>
      <w:pPr>
        <w:pStyle w:val="P11"/>
        <w:spacing w:lineRule="exact" w:line="340"/>
        <w:ind w:left="561"/>
        <w:rPr>
          <w:rFonts w:ascii="Courier New" w:hAnsi="Courier New"/>
          <w:sz w:val="24"/>
          <w:szCs w:val="24"/>
        </w:rPr>
      </w:pPr>
    </w:p>
    <w:p>
      <w:pPr>
        <w:pStyle w:val="P13"/>
      </w:pPr>
      <w:r>
        <w:t>Que evaluado el Proyecto de Ordenanza, por la Comisión de Hacienda, la misma emite despacho favorable, aprobado por unanimidad en Sesión Ordinaria del día 19 de Noviembre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 xml:space="preserve">DISPÓNESE </w:t>
      </w:r>
      <w:r>
        <w:rPr>
          <w:rFonts w:ascii="Courier New" w:hAnsi="Courier New"/>
        </w:rPr>
        <w:t xml:space="preserve">modificar el Presupuesto General de Recursos y Gastos de la Municipalidad de la ciudad de Alta Gracia –en cuanto al listado de cargos vacantes- el   que  quedará  definido  de  la  siguiente  manera:</w:t>
      </w: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pStyle w:val="P11"/>
        <w:tabs>
          <w:tab w:val="left" w:pos="0" w:leader="none"/>
        </w:tabs>
        <w:spacing w:lineRule="exact" w:line="340"/>
        <w:ind w:hanging="993" w:left="993"/>
        <w:rPr>
          <w:rFonts w:ascii="Courier New" w:hAnsi="Courier New"/>
          <w:b w:val="1"/>
          <w:bCs w:val="1"/>
          <w:sz w:val="24"/>
          <w:szCs w:val="24"/>
        </w:rPr>
      </w:pP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80"/>
        <w:gridCol w:w="1496"/>
        <w:gridCol w:w="1496"/>
      </w:tblGrid>
      <w:tr>
        <w:trPr>
          <w:trHeight w:hRule="atLeast" w:val="270"/>
        </w:trPr>
        <w:tc>
          <w:tcPr>
            <w:tcW w:w="5680" w:type="dxa"/>
            <w:tcBorders>
              <w:top w:val="single" w:sz="3" w:space="0" w:shadow="0" w:frame="0"/>
              <w:left w:val="single" w:sz="3" w:space="0" w:shadow="0" w:frame="0"/>
              <w:bottom w:val="single" w:sz="3" w:space="0" w:shadow="0" w:frame="0"/>
              <w:right w:val="nil"/>
            </w:tcBorders>
          </w:tcPr>
          <w:p>
            <w:pPr>
              <w:framePr w:wrap="around" w:vAnchor="text" w:hAnchor="margin" w:xAlign="right" w:y="135"/>
              <w:jc w:val="center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ÁREAS</w:t>
            </w:r>
          </w:p>
        </w:tc>
        <w:tc>
          <w:tcPr>
            <w:tcW w:w="1496" w:type="dxa"/>
            <w:tcBorders>
              <w:top w:val="single" w:sz="3" w:space="0" w:shadow="0" w:frame="0"/>
              <w:left w:val="nil"/>
              <w:bottom w:val="single" w:sz="3" w:space="0" w:shadow="0" w:frame="0"/>
              <w:right w:val="nil"/>
            </w:tcBorders>
          </w:tcPr>
          <w:p>
            <w:pPr>
              <w:framePr w:wrap="around" w:vAnchor="text" w:hAnchor="margin" w:xAlign="right" w:y="135"/>
              <w:jc w:val="center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CATEGORÍA</w:t>
            </w:r>
          </w:p>
        </w:tc>
        <w:tc>
          <w:tcPr>
            <w:tcW w:w="1496" w:type="dxa"/>
            <w:tcBorders>
              <w:top w:val="single" w:sz="3" w:space="0" w:shadow="0" w:frame="0"/>
              <w:left w:val="nil"/>
              <w:bottom w:val="single" w:sz="3" w:space="0" w:shadow="0" w:frame="0"/>
              <w:right w:val="single" w:sz="3" w:space="0" w:shadow="0" w:frame="0"/>
            </w:tcBorders>
          </w:tcPr>
          <w:p>
            <w:pPr>
              <w:framePr w:wrap="around" w:vAnchor="text" w:hAnchor="margin" w:xAlign="right" w:y="135"/>
              <w:jc w:val="center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CANTIDAD</w:t>
            </w:r>
          </w:p>
        </w:tc>
      </w:tr>
      <w:tr>
        <w:tblPrEx>
          <w:tblLayout w:type="fixed"/>
        </w:tblPrEx>
        <w:trPr>
          <w:trHeight w:hRule="atLeast" w:val="702"/>
        </w:trPr>
        <w:tc>
          <w:tcPr>
            <w:tcW w:w="5680" w:type="dxa"/>
            <w:tcBorders>
              <w:top w:val="nil"/>
              <w:left w:val="single" w:sz="3" w:space="0" w:shadow="0" w:frame="0"/>
              <w:bottom w:val="nil"/>
              <w:right w:val="nil"/>
            </w:tcBorders>
          </w:tcPr>
          <w:p>
            <w:pPr>
              <w:framePr w:wrap="around" w:vAnchor="text" w:hAnchor="margin" w:xAlign="right" w:y="135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SECRETARÍA GENERAL Y DE COORDINACIÓN ADMINISTRATIVA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framePr w:wrap="around" w:vAnchor="text" w:hAnchor="margin" w:xAlign="right" w:y="135"/>
              <w:jc w:val="center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6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3" w:space="0" w:shadow="0" w:frame="0"/>
            </w:tcBorders>
          </w:tcPr>
          <w:p>
            <w:pPr>
              <w:framePr w:wrap="around" w:vAnchor="text" w:hAnchor="margin" w:xAlign="right" w:y="135"/>
              <w:jc w:val="center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1</w:t>
            </w:r>
          </w:p>
        </w:tc>
      </w:tr>
      <w:tr>
        <w:tblPrEx>
          <w:tblLayout w:type="fixed"/>
        </w:tblPrEx>
        <w:trPr>
          <w:trHeight w:hRule="atLeast" w:val="702"/>
        </w:trPr>
        <w:tc>
          <w:tcPr>
            <w:tcW w:w="5680" w:type="dxa"/>
            <w:tcBorders>
              <w:top w:val="single" w:sz="3" w:space="0" w:shadow="0" w:frame="0"/>
              <w:left w:val="single" w:sz="3" w:space="0" w:shadow="0" w:frame="0"/>
              <w:bottom w:val="single" w:sz="3" w:space="0" w:shadow="0" w:frame="0"/>
              <w:right w:val="nil"/>
            </w:tcBorders>
          </w:tcPr>
          <w:p>
            <w:pPr>
              <w:framePr w:wrap="around" w:vAnchor="text" w:hAnchor="margin" w:xAlign="right" w:y="135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 xml:space="preserve">DIRECCIÓN DE </w:t>
            </w:r>
            <w:r>
              <w:rPr>
                <w:rFonts w:ascii="Courier New" w:hAnsi="Courier New"/>
                <w:b w:val="1"/>
                <w:bCs w:val="1"/>
              </w:rPr>
              <w:t>SALUD PÚBLICA</w:t>
            </w:r>
          </w:p>
        </w:tc>
        <w:tc>
          <w:tcPr>
            <w:tcW w:w="1496" w:type="dxa"/>
            <w:tcBorders>
              <w:top w:val="single" w:sz="3" w:space="0" w:shadow="0" w:frame="0"/>
              <w:left w:val="nil"/>
              <w:bottom w:val="single" w:sz="3" w:space="0" w:shadow="0" w:frame="0"/>
              <w:right w:val="nil"/>
            </w:tcBorders>
          </w:tcPr>
          <w:p>
            <w:pPr>
              <w:framePr w:wrap="around" w:vAnchor="text" w:hAnchor="margin" w:xAlign="right" w:y="135"/>
              <w:jc w:val="center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16</w:t>
            </w:r>
          </w:p>
        </w:tc>
        <w:tc>
          <w:tcPr>
            <w:tcW w:w="1496" w:type="dxa"/>
            <w:tcBorders>
              <w:top w:val="single" w:sz="3" w:space="0" w:shadow="0" w:frame="0"/>
              <w:left w:val="nil"/>
              <w:bottom w:val="single" w:sz="3" w:space="0" w:shadow="0" w:frame="0"/>
              <w:right w:val="single" w:sz="3" w:space="0" w:shadow="0" w:frame="0"/>
            </w:tcBorders>
          </w:tcPr>
          <w:p>
            <w:pPr>
              <w:framePr w:wrap="around" w:vAnchor="text" w:hAnchor="margin" w:xAlign="right" w:y="135"/>
              <w:jc w:val="center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1</w:t>
            </w:r>
          </w:p>
        </w:tc>
      </w:tr>
      <w:tr>
        <w:tblPrEx>
          <w:tblLayout w:type="fixed"/>
        </w:tblPrEx>
        <w:trPr>
          <w:trHeight w:hRule="atLeast" w:val="702"/>
        </w:trPr>
        <w:tc>
          <w:tcPr>
            <w:tcW w:w="5680" w:type="dxa"/>
            <w:tcBorders>
              <w:top w:val="single" w:sz="3" w:space="0" w:shadow="0" w:frame="0"/>
              <w:left w:val="single" w:sz="3" w:space="0" w:shadow="0" w:frame="0"/>
              <w:bottom w:val="single" w:sz="3" w:space="0" w:shadow="0" w:frame="0"/>
              <w:right w:val="nil"/>
            </w:tcBorders>
          </w:tcPr>
          <w:p>
            <w:pPr>
              <w:framePr w:wrap="around" w:vAnchor="text" w:hAnchor="margin" w:xAlign="right" w:y="135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DIRECCIÓN DE INGRESOS PÚBLICOS</w:t>
            </w:r>
          </w:p>
        </w:tc>
        <w:tc>
          <w:tcPr>
            <w:tcW w:w="1496" w:type="dxa"/>
            <w:tcBorders>
              <w:top w:val="single" w:sz="3" w:space="0" w:shadow="0" w:frame="0"/>
              <w:left w:val="nil"/>
              <w:bottom w:val="single" w:sz="3" w:space="0" w:shadow="0" w:frame="0"/>
              <w:right w:val="nil"/>
            </w:tcBorders>
          </w:tcPr>
          <w:p>
            <w:pPr>
              <w:framePr w:wrap="around" w:vAnchor="text" w:hAnchor="margin" w:xAlign="right" w:y="135"/>
              <w:jc w:val="center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6</w:t>
            </w:r>
          </w:p>
        </w:tc>
        <w:tc>
          <w:tcPr>
            <w:tcW w:w="1496" w:type="dxa"/>
            <w:tcBorders>
              <w:top w:val="single" w:sz="3" w:space="0" w:shadow="0" w:frame="0"/>
              <w:left w:val="nil"/>
              <w:bottom w:val="single" w:sz="3" w:space="0" w:shadow="0" w:frame="0"/>
              <w:right w:val="single" w:sz="3" w:space="0" w:shadow="0" w:frame="0"/>
            </w:tcBorders>
          </w:tcPr>
          <w:p>
            <w:pPr>
              <w:framePr w:wrap="around" w:vAnchor="text" w:hAnchor="margin" w:xAlign="right" w:y="135"/>
              <w:jc w:val="center"/>
              <w:rPr>
                <w:rFonts w:ascii="Courier New" w:hAnsi="Courier New"/>
                <w:b w:val="1"/>
                <w:bCs w:val="1"/>
              </w:rPr>
            </w:pPr>
            <w:r>
              <w:rPr>
                <w:rFonts w:ascii="Courier New" w:hAnsi="Courier New"/>
                <w:b w:val="1"/>
                <w:bCs w:val="1"/>
              </w:rPr>
              <w:t>1</w:t>
            </w:r>
          </w:p>
        </w:tc>
      </w:tr>
    </w:tbl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DIECINUEVE DIAS DEL MES DE NOVIEMBRE DEL AÑO DOS MIL OCHO.-</w:t>
      </w: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2C6674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13AE228E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825"/>
        <w:tabs>
          <w:tab w:val="num" w:pos="8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222C35E3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">
    <w:nsid w:val="24F459C5"/>
    <w:multiLevelType w:val="hybridMultilevel"/>
    <w:lvl w:ilvl="0" w:tplc="10F20CB3">
      <w:start w:val="0"/>
      <w:numFmt w:val="bullet"/>
      <w:suff w:val="tab"/>
      <w:lvlText w:val="-"/>
      <w:lvlJc w:val="left"/>
      <w:pPr>
        <w:ind w:hanging="360" w:left="720"/>
        <w:tabs>
          <w:tab w:val="num" w:pos="720" w:leader="none"/>
        </w:tabs>
      </w:pPr>
      <w:rPr>
        <w:rFonts w:ascii="Times New Roman" w:hAnsi="Times New Roman" w:cs="Times New Roman" w:eastAsia="Times New Roman"/>
      </w:rPr>
    </w:lvl>
    <w:lvl w:ilvl="1" w:tplc="4321AD92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3D4E14CB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0711CF70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4365B271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634D08DD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1FDF417B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1AA9B248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0208AC8D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7">
    <w:nsid w:val="298208E1"/>
    <w:multiLevelType w:val="multilevel"/>
    <w:lvl w:ilvl="0">
      <w:start w:val="9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20"/>
        <w:tabs>
          <w:tab w:val="num" w:pos="162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40"/>
        <w:tabs>
          <w:tab w:val="num" w:pos="23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60"/>
        <w:tabs>
          <w:tab w:val="num" w:pos="306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780"/>
        <w:tabs>
          <w:tab w:val="num" w:pos="378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00"/>
        <w:tabs>
          <w:tab w:val="num" w:pos="450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20"/>
        <w:tabs>
          <w:tab w:val="num" w:pos="52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40"/>
        <w:tabs>
          <w:tab w:val="num" w:pos="59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60"/>
        <w:tabs>
          <w:tab w:val="num" w:pos="6660" w:leader="none"/>
        </w:tabs>
      </w:pPr>
      <w:rPr/>
    </w:lvl>
  </w:abstractNum>
  <w:abstractNum w:abstractNumId="8">
    <w:nsid w:val="3B642C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9">
    <w:nsid w:val="3DCB577F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num" w:pos="1776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2496"/>
        <w:tabs>
          <w:tab w:val="num" w:pos="249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216"/>
        <w:tabs>
          <w:tab w:val="num" w:pos="321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936"/>
        <w:tabs>
          <w:tab w:val="num" w:pos="393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656"/>
        <w:tabs>
          <w:tab w:val="num" w:pos="465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376"/>
        <w:tabs>
          <w:tab w:val="num" w:pos="537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096"/>
        <w:tabs>
          <w:tab w:val="num" w:pos="60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816"/>
        <w:tabs>
          <w:tab w:val="num" w:pos="681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536"/>
        <w:tabs>
          <w:tab w:val="num" w:pos="7536" w:leader="none"/>
        </w:tabs>
      </w:pPr>
      <w:rPr/>
    </w:lvl>
  </w:abstractNum>
  <w:abstractNum w:abstractNumId="10">
    <w:nsid w:val="44F124E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59B654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3">
    <w:nsid w:val="6D300CA7"/>
    <w:multiLevelType w:val="hybridMultilevel"/>
    <w:lvl w:ilvl="0" w:tplc="31E8488D">
      <w:start w:val="0"/>
      <w:numFmt w:val="bullet"/>
      <w:suff w:val="tab"/>
      <w:lvlText w:val="-"/>
      <w:lvlJc w:val="left"/>
      <w:pPr>
        <w:ind w:hanging="375" w:left="936"/>
        <w:tabs>
          <w:tab w:val="num" w:pos="936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74472A0F"/>
    <w:multiLevelType w:val="multilevel"/>
    <w:lvl w:ilvl="0">
      <w:start w:val="1"/>
      <w:numFmt w:val="lowerLetter"/>
      <w:suff w:val="tab"/>
      <w:lvlText w:val="%1)"/>
      <w:lvlJc w:val="left"/>
      <w:pPr>
        <w:ind w:hanging="360" w:left="660"/>
        <w:tabs>
          <w:tab w:val="num" w:pos="66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5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6">
    <w:nsid w:val="7E711528"/>
    <w:multiLevelType w:val="multilevel"/>
    <w:lvl w:ilvl="0">
      <w:start w:val="1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2"/>
  </w:num>
  <w:num w:numId="5">
    <w:abstractNumId w:val="5"/>
  </w:num>
  <w:num w:numId="6">
    <w:abstractNumId w:val="10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3"/>
  </w:num>
  <w:num w:numId="13">
    <w:abstractNumId w:val="8"/>
  </w:num>
  <w:num w:numId="14">
    <w:abstractNumId w:val="9"/>
  </w:num>
  <w:num w:numId="15">
    <w:abstractNumId w:val="6"/>
  </w:num>
  <w:num w:numId="16">
    <w:abstractNumId w:val="0"/>
    <w:lvlOverride w:ilvl="0">
      <w:lvl w:ilvl="0" w:tplc="3A4B793E">
        <w:start w:val="0"/>
        <w:numFmt w:val="bullet"/>
        <w:suff w:val="tab"/>
        <w:lvlText w:val=""/>
        <w:legacy w:legacy="1" w:legacyIndent="360" w:legacySpace="0"/>
        <w:lvlJc w:val="left"/>
        <w:pPr>
          <w:ind w:hanging="360" w:left="720"/>
        </w:pPr>
        <w:rPr>
          <w:rFonts w:ascii="Symbol" w:hAnsi="Symbol"/>
        </w:rPr>
      </w:lvl>
    </w:lvlOverride>
  </w:num>
  <w:num w:numId="17">
    <w:abstractNumId w:val="1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Subtitle"/>
    <w:basedOn w:val="P0"/>
    <w:next w:val="P16"/>
    <w:pPr>
      <w:jc w:val="center"/>
    </w:pPr>
    <w:rPr>
      <w:sz w:val="32"/>
      <w:szCs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basedOn w:val="C0"/>
    <w:rPr>
      <w:b w:val="1"/>
      <w:bCs w:val="1"/>
    </w:rPr>
  </w:style>
  <w:style w:type="character" w:styleId="C4">
    <w:name w:val="Emphasis"/>
    <w:basedOn w:val="C0"/>
    <w:rPr>
      <w:i w:val="1"/>
      <w:iCs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2026-07-09T18:22:06Z</dcterms:created>
  <cp:lastModifiedBy>Federico Parisi</cp:lastModifiedBy>
  <cp:lastPrinted>2008-11-25T01:29:00Z</cp:lastPrinted>
  <dcterms:modified xsi:type="dcterms:W3CDTF">2026-07-09T18:22:06Z</dcterms:modified>
  <cp:revision>2</cp:revision>
  <dc:title>PROYECTO DE ORDENANZA</dc:title>
</cp:coreProperties>
</file>