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
    <w:p>
      <w:pPr>
        <w:pStyle w:val="P2"/>
      </w:pPr>
      <w:r>
        <w:t>ORDENANZA Nº 8313</w:t>
      </w:r>
    </w:p>
    <w:p>
      <w:pPr>
        <w:jc w:val="both"/>
        <w:rPr>
          <w:rFonts w:ascii="Courier New" w:hAnsi="Courier New"/>
          <w:sz w:val="24"/>
          <w:szCs w:val="24"/>
        </w:rPr>
      </w:pPr>
    </w:p>
    <w:p>
      <w:pPr>
        <w:jc w:val="both"/>
        <w:rPr>
          <w:rFonts w:ascii="Courier New" w:hAnsi="Courier New"/>
          <w:sz w:val="24"/>
          <w:szCs w:val="24"/>
        </w:rPr>
      </w:pPr>
    </w:p>
    <w:p>
      <w:pPr>
        <w:ind w:hanging="709" w:left="709"/>
        <w:jc w:val="both"/>
        <w:rPr>
          <w:rFonts w:ascii="Courier New" w:hAnsi="Courier New"/>
        </w:rPr>
      </w:pPr>
      <w:r>
        <w:rPr>
          <w:rFonts w:ascii="Courier New" w:hAnsi="Courier New"/>
          <w:sz w:val="24"/>
          <w:szCs w:val="24"/>
        </w:rPr>
        <w:t>Visto: El Expediente N° 1597/08, iniciado por el Sr. Eduardo Ariel Niklas; y</w:t>
      </w:r>
    </w:p>
    <w:p>
      <w:pPr>
        <w:jc w:val="both"/>
        <w:rPr>
          <w:rFonts w:ascii="Courier New" w:hAnsi="Courier New"/>
          <w:sz w:val="24"/>
          <w:szCs w:val="24"/>
        </w:rPr>
      </w:pPr>
    </w:p>
    <w:p>
      <w:pPr>
        <w:pStyle w:val="P1"/>
        <w:rPr>
          <w:rFonts w:ascii="Courier New" w:hAnsi="Courier New"/>
        </w:rPr>
      </w:pPr>
      <w:r>
        <w:rPr>
          <w:rFonts w:ascii="Courier New" w:hAnsi="Courier New"/>
        </w:rPr>
        <w:t>C O N S I D E R A N D O</w:t>
      </w:r>
    </w:p>
    <w:p>
      <w:pPr>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Que en el mismo se solicita la autorización para radicar un Depósito en el inmueble Designación Catastral 3-1-52-9, ubicado en Gral. López esq. Guillermo Almada N° 919 de Barrio Parque del Virrey de nuestra Ciudad;</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el Área de Inspección General a fs. 3, notifica al interesado por no tener declarada la superficie edificada existente, ya que constan dos Expedientes (N° 386 y 911/06) con solo Previas de la misma;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Que el Área de Obras Privadas a fs. 6 vta. observa que el uso del suelo en esa zona contempla este tipo de rubro (depósito) como uso condicionado y que la edificación existente posee una Línea de Ochava fuera de la normativa vigente (Ordenanza N° 1294);</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visitado el lugar por la Comisión de Obras y Servicios Públicos, se constató la veracidad de lo solicitado, encontrándose en este momento en funcionamiento una maderera en el lugar; </w:t>
      </w:r>
    </w:p>
    <w:p>
      <w:pPr>
        <w:ind w:left="709"/>
        <w:jc w:val="both"/>
        <w:rPr>
          <w:rFonts w:ascii="Courier New" w:hAnsi="Courier New"/>
          <w:sz w:val="24"/>
          <w:szCs w:val="24"/>
        </w:rPr>
      </w:pPr>
    </w:p>
    <w:p>
      <w:pPr>
        <w:ind w:left="709"/>
        <w:jc w:val="both"/>
        <w:rPr>
          <w:rFonts w:ascii="Courier New" w:hAnsi="Courier New"/>
        </w:rPr>
      </w:pPr>
      <w:r>
        <w:rPr>
          <w:rFonts w:ascii="Courier New" w:hAnsi="Courier New"/>
          <w:sz w:val="24"/>
          <w:szCs w:val="24"/>
        </w:rPr>
        <w:t>Que el interesado presenta nota con fecha 09 de Diciembre de 2008, manifestando que un plazo de seis (6) meses realizará la modificación de la Línea de Ochava de acuerdo a croquis que adjunta a la misma;</w:t>
      </w:r>
      <w:r>
        <w:rPr>
          <w:rFonts w:ascii="Courier New" w:hAnsi="Courier New"/>
        </w:rPr>
        <w:t xml:space="preserve"> </w:t>
      </w:r>
    </w:p>
    <w:p>
      <w:pPr>
        <w:jc w:val="both"/>
        <w:rPr>
          <w:rFonts w:ascii="Courier New" w:hAnsi="Courier New"/>
          <w:sz w:val="24"/>
          <w:szCs w:val="24"/>
        </w:rPr>
      </w:pPr>
    </w:p>
    <w:p>
      <w:pPr>
        <w:ind w:left="709"/>
        <w:jc w:val="both"/>
        <w:rPr>
          <w:rFonts w:ascii="Courier New" w:hAnsi="Courier New"/>
          <w:b w:val="1"/>
          <w:bCs w:val="1"/>
          <w:sz w:val="24"/>
          <w:szCs w:val="24"/>
        </w:rPr>
      </w:pPr>
      <w:r>
        <w:rPr>
          <w:rFonts w:ascii="Courier New" w:hAnsi="Courier New"/>
          <w:sz w:val="24"/>
          <w:szCs w:val="24"/>
        </w:rPr>
        <w:t>Que evaluado el Expediente de referencia por la Comisión de Obras y Servicios Públicos, la misma emite despacho favorable, aprobado por unanimidad en Sesión Extraordinaria del día 12 de Diciembre de 2008.</w:t>
      </w:r>
    </w:p>
    <w:p>
      <w:pPr>
        <w:jc w:val="center"/>
        <w:rPr>
          <w:rFonts w:ascii="Courier New" w:hAnsi="Courier New"/>
          <w:b w:val="1"/>
          <w:bCs w:val="1"/>
          <w:sz w:val="24"/>
          <w:szCs w:val="24"/>
        </w:rPr>
      </w:pPr>
    </w:p>
    <w:p>
      <w:pPr>
        <w:jc w:val="center"/>
        <w:rPr>
          <w:rFonts w:ascii="Courier New" w:hAnsi="Courier New"/>
          <w:b w:val="1"/>
          <w:bCs w:val="1"/>
          <w:sz w:val="24"/>
          <w:szCs w:val="24"/>
        </w:rPr>
      </w:pPr>
    </w:p>
    <w:p>
      <w:pPr>
        <w:jc w:val="center"/>
        <w:rPr>
          <w:rFonts w:ascii="Courier New" w:hAnsi="Courier New"/>
          <w:b w:val="1"/>
          <w:bCs w:val="1"/>
          <w:sz w:val="24"/>
          <w:szCs w:val="24"/>
        </w:rPr>
      </w:pPr>
      <w:r>
        <w:rPr>
          <w:rFonts w:ascii="Courier New" w:hAnsi="Courier New"/>
          <w:b w:val="1"/>
          <w:bCs w:val="1"/>
          <w:sz w:val="24"/>
          <w:szCs w:val="24"/>
        </w:rPr>
        <w:t>EL HONORABLE CONCEJO DELIBERANTE DE LA CIUDAD DE</w:t>
      </w:r>
    </w:p>
    <w:p>
      <w:pPr>
        <w:jc w:val="center"/>
        <w:rPr>
          <w:rFonts w:ascii="Courier New" w:hAnsi="Courier New"/>
          <w:b w:val="1"/>
          <w:bCs w:val="1"/>
          <w:sz w:val="24"/>
          <w:szCs w:val="24"/>
        </w:rPr>
      </w:pPr>
    </w:p>
    <w:p>
      <w:pPr>
        <w:pStyle w:val="P1"/>
        <w:rPr>
          <w:rFonts w:ascii="Courier New" w:hAnsi="Courier New"/>
        </w:rPr>
      </w:pPr>
      <w:r>
        <w:rPr>
          <w:rFonts w:ascii="Courier New" w:hAnsi="Courier New"/>
        </w:rPr>
        <w:t>ALTA GRACIA SANCIONA CON FUERZA DE ORDENANZA</w:t>
      </w:r>
    </w:p>
    <w:p>
      <w:pPr>
        <w:jc w:val="right"/>
        <w:rPr>
          <w:rFonts w:ascii="Courier New" w:hAnsi="Courier New"/>
          <w:sz w:val="24"/>
          <w:szCs w:val="24"/>
        </w:rPr>
      </w:pPr>
      <w:r>
        <w:rPr>
          <w:rFonts w:ascii="Courier New" w:hAnsi="Courier New"/>
          <w:sz w:val="24"/>
          <w:szCs w:val="24"/>
        </w:rPr>
        <w:t>...///</w:t>
      </w:r>
    </w:p>
    <w:p>
      <w:pPr>
        <w:jc w:val="right"/>
        <w:rPr>
          <w:rFonts w:ascii="Courier New" w:hAnsi="Courier New"/>
          <w:sz w:val="24"/>
          <w:szCs w:val="24"/>
        </w:rPr>
      </w:pPr>
    </w:p>
    <w:p>
      <w:pPr>
        <w:jc w:val="right"/>
        <w:rPr>
          <w:rFonts w:ascii="Courier New" w:hAnsi="Courier New"/>
          <w:sz w:val="24"/>
          <w:szCs w:val="24"/>
        </w:rPr>
      </w:pPr>
    </w:p>
    <w:p>
      <w:pPr>
        <w:jc w:val="right"/>
        <w:rPr>
          <w:rFonts w:ascii="Courier New" w:hAnsi="Courier New"/>
          <w:sz w:val="24"/>
          <w:szCs w:val="24"/>
        </w:rPr>
      </w:pPr>
    </w:p>
    <w:p>
      <w:pPr>
        <w:jc w:val="right"/>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r>
        <w:rPr>
          <w:rFonts w:ascii="Courier New" w:hAnsi="Courier New"/>
          <w:sz w:val="24"/>
          <w:szCs w:val="24"/>
        </w:rPr>
        <w:t>...///2.-</w:t>
      </w:r>
    </w:p>
    <w:p>
      <w:pPr>
        <w:jc w:val="both"/>
        <w:rPr>
          <w:rFonts w:ascii="Courier New" w:hAnsi="Courier New"/>
          <w:b w:val="1"/>
          <w:bCs w:val="1"/>
          <w:sz w:val="24"/>
          <w:szCs w:val="24"/>
          <w:u w:val="single"/>
        </w:rPr>
      </w:pPr>
    </w:p>
    <w:p>
      <w:pPr>
        <w:ind w:hanging="709" w:left="709"/>
        <w:jc w:val="both"/>
        <w:rPr>
          <w:rFonts w:ascii="Courier New" w:hAnsi="Courier New"/>
        </w:rPr>
      </w:pPr>
      <w:r>
        <w:rPr>
          <w:rFonts w:ascii="Courier New" w:hAnsi="Courier New"/>
          <w:b w:val="1"/>
          <w:bCs w:val="1"/>
          <w:sz w:val="24"/>
          <w:szCs w:val="24"/>
          <w:u w:val="single"/>
        </w:rPr>
        <w:t>Art.1</w:t>
      </w:r>
      <w:r>
        <w:rPr>
          <w:rFonts w:ascii="Courier New" w:hAnsi="Courier New"/>
          <w:b w:val="1"/>
          <w:bCs w:val="1"/>
          <w:sz w:val="24"/>
          <w:szCs w:val="24"/>
        </w:rPr>
        <w:t xml:space="preserve">: AUTORIZASE </w:t>
      </w:r>
      <w:r>
        <w:rPr>
          <w:rFonts w:ascii="Courier New" w:hAnsi="Courier New"/>
          <w:sz w:val="24"/>
          <w:szCs w:val="24"/>
        </w:rPr>
        <w:t xml:space="preserve">al Sr. Eduardo Ariel Niklas, DNI: 23.373.732, a instalar un depósito en el inmueble Designación Catastral 3-1-52-9, ubicado en calle Guillermo Almada N° 519 esq. Gral. López, de Barrio Parque del Virrey de nuestra Ciudad, sin el cumplimiento del Art. 257 (De los Usos) de la Ordenanza N° 1294 (Código de Edificación y Urbanización de Alta gracia).  </w:t>
      </w:r>
    </w:p>
    <w:p>
      <w:pPr>
        <w:ind w:hanging="709" w:left="709"/>
        <w:jc w:val="both"/>
        <w:rPr>
          <w:rFonts w:ascii="Courier New" w:hAnsi="Courier New"/>
          <w:sz w:val="24"/>
          <w:szCs w:val="24"/>
        </w:rPr>
      </w:pPr>
    </w:p>
    <w:p>
      <w:pPr>
        <w:ind w:hanging="709" w:left="709"/>
        <w:jc w:val="both"/>
        <w:rPr>
          <w:rFonts w:ascii="Courier New" w:hAnsi="Courier New"/>
          <w:sz w:val="24"/>
          <w:szCs w:val="24"/>
        </w:rPr>
      </w:pPr>
      <w:r>
        <w:rPr>
          <w:rFonts w:ascii="Courier New" w:hAnsi="Courier New"/>
          <w:b w:val="1"/>
          <w:bCs w:val="1"/>
          <w:sz w:val="24"/>
          <w:szCs w:val="24"/>
          <w:u w:val="single"/>
        </w:rPr>
        <w:t>Art.2</w:t>
      </w:r>
      <w:r>
        <w:rPr>
          <w:rFonts w:ascii="Courier New" w:hAnsi="Courier New"/>
          <w:b w:val="1"/>
          <w:bCs w:val="1"/>
          <w:sz w:val="24"/>
          <w:szCs w:val="24"/>
        </w:rPr>
        <w:t>:</w:t>
      </w:r>
      <w:r>
        <w:rPr>
          <w:rFonts w:ascii="Courier New" w:hAnsi="Courier New"/>
          <w:b w:val="1"/>
          <w:bCs w:val="1"/>
          <w:sz w:val="24"/>
          <w:szCs w:val="24"/>
        </w:rPr>
        <w:t xml:space="preserve"> CONDICI</w:t>
      </w:r>
      <w:r>
        <w:rPr>
          <w:rFonts w:ascii="Courier New" w:hAnsi="Courier New"/>
          <w:b w:val="1"/>
          <w:bCs w:val="1"/>
          <w:sz w:val="24"/>
          <w:szCs w:val="24"/>
        </w:rPr>
        <w:t>Ó</w:t>
      </w:r>
      <w:r>
        <w:rPr>
          <w:rFonts w:ascii="Courier New" w:hAnsi="Courier New"/>
          <w:b w:val="1"/>
          <w:bCs w:val="1"/>
          <w:sz w:val="24"/>
          <w:szCs w:val="24"/>
        </w:rPr>
        <w:t>NASE</w:t>
      </w:r>
      <w:r>
        <w:rPr>
          <w:rFonts w:ascii="Courier New" w:hAnsi="Courier New"/>
          <w:b w:val="1"/>
          <w:bCs w:val="1"/>
          <w:sz w:val="24"/>
          <w:szCs w:val="24"/>
        </w:rPr>
        <w:t xml:space="preserve"> </w:t>
      </w:r>
      <w:r>
        <w:rPr>
          <w:rFonts w:ascii="Courier New" w:hAnsi="Courier New"/>
          <w:sz w:val="24"/>
          <w:szCs w:val="24"/>
        </w:rPr>
        <w:t>la autorización otorgada en el punto anterior a que en el plazo de seis (6) meses de promulgada la presente se realicen las modificaciones de la Línea de Ochava planteadas en el croquis presentado por el interesado que se adjunta y que fuera ejecutado por el estudio Monteoliva-Brandalise Arquitectura.-</w:t>
      </w:r>
    </w:p>
    <w:p>
      <w:pPr>
        <w:ind w:hanging="709" w:left="709"/>
        <w:jc w:val="both"/>
        <w:rPr>
          <w:rFonts w:ascii="Courier New" w:hAnsi="Courier New"/>
          <w:sz w:val="24"/>
          <w:szCs w:val="24"/>
        </w:rPr>
      </w:pPr>
      <w:r>
        <w:rPr>
          <w:rFonts w:ascii="Courier New" w:hAnsi="Courier New"/>
          <w:sz w:val="24"/>
          <w:szCs w:val="24"/>
        </w:rPr>
        <w:t xml:space="preserve"> </w:t>
      </w:r>
    </w:p>
    <w:p>
      <w:pPr>
        <w:ind w:hanging="709" w:left="709"/>
        <w:jc w:val="both"/>
        <w:rPr>
          <w:rFonts w:ascii="Courier New" w:hAnsi="Courier New"/>
          <w:sz w:val="24"/>
          <w:szCs w:val="24"/>
        </w:rPr>
      </w:pPr>
      <w:r>
        <w:rPr>
          <w:rFonts w:ascii="Courier New" w:hAnsi="Courier New"/>
          <w:b w:val="1"/>
          <w:bCs w:val="1"/>
          <w:sz w:val="24"/>
          <w:szCs w:val="24"/>
          <w:u w:val="single"/>
        </w:rPr>
        <w:t>Art.3</w:t>
      </w:r>
      <w:r>
        <w:rPr>
          <w:rFonts w:ascii="Courier New" w:hAnsi="Courier New"/>
          <w:b w:val="1"/>
          <w:bCs w:val="1"/>
          <w:sz w:val="24"/>
          <w:szCs w:val="24"/>
        </w:rPr>
        <w:t>:</w:t>
      </w:r>
      <w:r>
        <w:rPr>
          <w:rFonts w:ascii="Courier New" w:hAnsi="Courier New"/>
          <w:b w:val="1"/>
          <w:bCs w:val="1"/>
          <w:sz w:val="24"/>
          <w:szCs w:val="24"/>
        </w:rPr>
        <w:t xml:space="preserve"> PROTOCOLÍCESE</w:t>
      </w:r>
      <w:r>
        <w:rPr>
          <w:rFonts w:ascii="Courier New" w:hAnsi="Courier New"/>
          <w:sz w:val="24"/>
          <w:szCs w:val="24"/>
        </w:rPr>
        <w:t>, comuníquese, publíquese en el Boletín Oficial de la Ciudad de Alta Gracia, transcríbase al libro de Ordenanzas y Archívese.</w:t>
      </w:r>
    </w:p>
    <w:p>
      <w:pPr>
        <w:jc w:val="both"/>
        <w:rPr>
          <w:rFonts w:ascii="Courier New" w:hAnsi="Courier New"/>
          <w:sz w:val="24"/>
          <w:szCs w:val="24"/>
        </w:rPr>
      </w:pPr>
    </w:p>
    <w:p>
      <w:pPr>
        <w:jc w:val="both"/>
        <w:rPr>
          <w:rFonts w:ascii="Courier New" w:hAnsi="Courier New"/>
          <w:sz w:val="24"/>
          <w:szCs w:val="24"/>
        </w:rPr>
      </w:pPr>
    </w:p>
    <w:p>
      <w:pPr>
        <w:pStyle w:val="P9"/>
      </w:pPr>
      <w:r>
        <w:t>DADA EN LA SALA DE SESIONES DEL HONORABLE CONCEJO DELIBERANTE A LOS DOCE DÍAS DEL MES DE DICIEMBRE DEL AÑO DOS MIL OCHO.-</w:t>
      </w:r>
    </w:p>
    <w:sectPr>
      <w:type w:val="nextPage"/>
      <w:pgSz w:w="11907" w:h="16840" w:code="0"/>
      <w:pgMar w:left="1701" w:right="1701" w:top="1418" w:bottom="1418" w:header="720" w:footer="720" w:gutter="0"/>
      <w:cols w:equalWidth="1" w:space="72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BA547B8"/>
    <w:multiLevelType w:val="multilevel"/>
    <w:lvl w:ilvl="0">
      <w:start w:val="1"/>
      <w:numFmt w:val="decimal"/>
      <w:suff w:val="tab"/>
      <w:lvlText w:val="%1)"/>
      <w:lvlJc w:val="left"/>
      <w:pPr>
        <w:ind w:hanging="615" w:left="615"/>
        <w:tabs>
          <w:tab w:val="num" w:pos="61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54C54F30"/>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5"/>
  </w:num>
  <w:num w:numId="2">
    <w:abstractNumId w:val="0"/>
  </w:num>
  <w:num w:numId="3">
    <w:abstractNumId w:val="2"/>
  </w:num>
  <w:num w:numId="4">
    <w:abstractNumId w:val="3"/>
  </w:num>
  <w:num w:numId="5">
    <w:abstractNumId w:val="4"/>
  </w:num>
  <w:num w:numId="6">
    <w:abstractNumId w:val="1"/>
  </w:num>
</w:numbering>
</file>

<file path=word/settings.xml><?xml version="1.0" encoding="utf-8"?>
<w:settings xmlns:r="http://schemas.openxmlformats.org/officeDocument/2006/relationships" xmlns:w="http://schemas.openxmlformats.org/wordprocessingml/2006/main">
  <w:displayBackgroundShape w:val="0"/>
  <w:doNotTrackMoves/>
  <w:defaultTabStop w:val="708"/>
  <w:autoHyphenation w:val="0"/>
  <w:hyphenationZone w:val="425"/>
  <w:evenAndOddHeaders w:val="0"/>
  <w:characterSpacingControl w:val="compressPunctuation"/>
  <w:compat>
    <w:alignTablesRowByRow/>
    <w:splitPgBreakAndParaMark/>
    <w:doNotBreakConstrainedForcedTable/>
    <w:doNotVertAlignCellWithSp/>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paragraph" w:styleId="P10">
    <w:name w:val="Body Text 21"/>
    <w:basedOn w:val="P0"/>
    <w:next w:val="P10"/>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rFonts w:ascii="Times" w:hAnsi="Times"/>
      <w:b w:val="1"/>
      <w:bCs w:val="1"/>
      <w:color w:val="000000"/>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2026-07-09T18:18:43Z</dcterms:created>
  <cp:lastModifiedBy>Federico Parisi</cp:lastModifiedBy>
  <cp:lastPrinted>2008-12-16T05:20:00Z</cp:lastPrinted>
  <dcterms:modified xsi:type="dcterms:W3CDTF">2026-07-09T18:18:43Z</dcterms:modified>
  <cp:revision>2</cp:revision>
  <dc:title>P R O Y E C T O   D E   O R D E N A N Z A</dc:title>
</cp:coreProperties>
</file>