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
    <w:p>
      <w:pPr>
        <w:pStyle w:val="P2"/>
      </w:pPr>
      <w:r>
        <w:t>ORDENANZA Nº 8314</w:t>
      </w: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rPr>
      </w:pPr>
      <w:r>
        <w:rPr>
          <w:rFonts w:ascii="Courier New" w:hAnsi="Courier New"/>
          <w:sz w:val="24"/>
          <w:szCs w:val="24"/>
        </w:rPr>
        <w:t>Visto: El Expediente N° 1546/08 iniciado por Aníbal Gallará; y</w:t>
      </w:r>
    </w:p>
    <w:p>
      <w:pPr>
        <w:jc w:val="both"/>
        <w:rPr>
          <w:rFonts w:ascii="Courier New" w:hAnsi="Courier New"/>
          <w:sz w:val="24"/>
          <w:szCs w:val="24"/>
        </w:rPr>
      </w:pPr>
    </w:p>
    <w:p>
      <w:pPr>
        <w:jc w:val="both"/>
        <w:rPr>
          <w:rFonts w:ascii="Courier New" w:hAnsi="Courier New"/>
          <w:sz w:val="24"/>
          <w:szCs w:val="24"/>
        </w:rPr>
      </w:pPr>
    </w:p>
    <w:p>
      <w:pPr>
        <w:pStyle w:val="P1"/>
        <w:rPr>
          <w:rFonts w:ascii="Courier New" w:hAnsi="Courier New"/>
        </w:rPr>
      </w:pPr>
      <w:r>
        <w:rPr>
          <w:rFonts w:ascii="Courier New" w:hAnsi="Courier New"/>
        </w:rPr>
        <w:t>C O N S I D E R A N D O</w:t>
      </w:r>
    </w:p>
    <w:p>
      <w:pPr>
        <w:jc w:val="both"/>
        <w:rPr>
          <w:rFonts w:ascii="Courier New" w:hAnsi="Courier New"/>
          <w:sz w:val="24"/>
          <w:szCs w:val="24"/>
        </w:rPr>
      </w:pPr>
    </w:p>
    <w:p>
      <w:pPr>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en el mismo se solicita se autorice plano de mensura y subdivisión sobre inmueble Designación Catastral 3-1-148-5, ubicado en Calle Intendente Peralta entre Agustín Aguirre y Uruguay de Barrio Cámara de nuestra Ciudad, sin el cumplimiento del Art. 259 de la Ordenanza N° 1294 (Código de Edificación y Urbanización de Alta Gracia);</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el Área de Obras Privadas observa a fs. 3 vta. que en la subdivisión pretendida, no se cumple con las dimensiones mínimas de las parcelas en subdivisión simple que establece la normativa en vigencia (Ord. 1294), frente mínimo de diez (10) mts. y superficie mínima de trescientos (300) metros cuadrados (m2); </w:t>
      </w:r>
    </w:p>
    <w:p>
      <w:pPr>
        <w:ind w:left="709"/>
        <w:jc w:val="both"/>
        <w:rPr>
          <w:rFonts w:ascii="Courier New" w:hAnsi="Courier New"/>
          <w:sz w:val="24"/>
          <w:szCs w:val="24"/>
        </w:rPr>
      </w:pPr>
    </w:p>
    <w:p>
      <w:pPr>
        <w:pStyle w:val="P8"/>
      </w:pPr>
      <w:r>
        <w:t>Que el Área de Planeamiento informa que en virtud de lo observado por Obras Privadas solo se podría contemplar la situación de PH (Propiedad Horizontal) y que se hace necesario conocer las características de las edificaciones existentes para ver la factibilidad de división de las mismas;</w:t>
      </w:r>
    </w:p>
    <w:p>
      <w:pPr>
        <w:ind w:left="709"/>
        <w:jc w:val="both"/>
        <w:rPr>
          <w:rFonts w:ascii="Courier New" w:hAnsi="Courier New"/>
          <w:sz w:val="24"/>
          <w:szCs w:val="24"/>
        </w:rPr>
      </w:pPr>
    </w:p>
    <w:p>
      <w:pPr>
        <w:ind w:left="709"/>
        <w:jc w:val="both"/>
        <w:rPr>
          <w:rFonts w:ascii="Courier New" w:hAnsi="Courier New"/>
        </w:rPr>
      </w:pPr>
      <w:r>
        <w:rPr>
          <w:rFonts w:ascii="Courier New" w:hAnsi="Courier New"/>
          <w:sz w:val="24"/>
          <w:szCs w:val="24"/>
        </w:rPr>
        <w:t>Que el profesional actuante: Ing. Aníbal Gallará, presenta copia de antecedente de las edificaciones existentes visada por el Colegio Profesional de Ingenieros de la Pcia. de Cba. y copia de ficha de Catastro de la Provincia en la cual se observa que la fracción de terreno en cuestión está formada por los lotes 2 y 3;</w:t>
      </w:r>
    </w:p>
    <w:p>
      <w:pPr>
        <w:jc w:val="both"/>
        <w:rPr>
          <w:rFonts w:ascii="Courier New" w:hAnsi="Courier New"/>
          <w:sz w:val="24"/>
          <w:szCs w:val="24"/>
        </w:rPr>
      </w:pPr>
    </w:p>
    <w:p>
      <w:pPr>
        <w:ind w:left="709"/>
        <w:jc w:val="both"/>
        <w:rPr>
          <w:rFonts w:ascii="Courier New" w:hAnsi="Courier New"/>
          <w:b w:val="1"/>
          <w:bCs w:val="1"/>
          <w:sz w:val="24"/>
          <w:szCs w:val="24"/>
        </w:rPr>
      </w:pPr>
      <w:r>
        <w:rPr>
          <w:rFonts w:ascii="Courier New" w:hAnsi="Courier New"/>
          <w:sz w:val="24"/>
          <w:szCs w:val="24"/>
        </w:rPr>
        <w:t>Que evaluado el Expediente de referencia por la Comisión de Obras y Servicios Públicos, la misma emite despacho favorable, aprobado por unanimidad en Sesión Extraordinaria del día 12 de Diciembre de 2008.</w:t>
      </w:r>
    </w:p>
    <w:p>
      <w:pPr>
        <w:jc w:val="center"/>
        <w:rPr>
          <w:rFonts w:ascii="Courier New" w:hAnsi="Courier New"/>
          <w:b w:val="1"/>
          <w:bCs w:val="1"/>
          <w:sz w:val="24"/>
          <w:szCs w:val="24"/>
        </w:rPr>
      </w:pPr>
    </w:p>
    <w:p>
      <w:pPr>
        <w:jc w:val="right"/>
        <w:rPr>
          <w:rFonts w:ascii="Courier New" w:hAnsi="Courier New"/>
          <w:b w:val="1"/>
          <w:bCs w:val="1"/>
          <w:sz w:val="24"/>
          <w:szCs w:val="24"/>
        </w:rPr>
      </w:pPr>
      <w:r>
        <w:rPr>
          <w:rFonts w:ascii="Courier New" w:hAnsi="Courier New"/>
          <w:sz w:val="24"/>
          <w:szCs w:val="24"/>
        </w:rPr>
        <w:t>...///</w:t>
      </w:r>
    </w:p>
    <w:p>
      <w:pPr>
        <w:jc w:val="center"/>
        <w:rPr>
          <w:rFonts w:ascii="Courier New" w:hAnsi="Courier New"/>
          <w:b w:val="1"/>
          <w:bCs w:val="1"/>
          <w:sz w:val="24"/>
          <w:szCs w:val="24"/>
        </w:rPr>
      </w:pPr>
    </w:p>
    <w:p>
      <w:pPr>
        <w:jc w:val="center"/>
        <w:rPr>
          <w:rFonts w:ascii="Courier New" w:hAnsi="Courier New"/>
          <w:b w:val="1"/>
          <w:bCs w:val="1"/>
          <w:sz w:val="24"/>
          <w:szCs w:val="24"/>
        </w:rPr>
      </w:pPr>
    </w:p>
    <w:p>
      <w:pPr>
        <w:jc w:val="center"/>
        <w:rPr>
          <w:rFonts w:ascii="Courier New" w:hAnsi="Courier New"/>
          <w:b w:val="1"/>
          <w:bCs w:val="1"/>
          <w:sz w:val="24"/>
          <w:szCs w:val="24"/>
        </w:rPr>
      </w:pPr>
    </w:p>
    <w:p>
      <w:pPr>
        <w:jc w:val="center"/>
        <w:rPr>
          <w:rFonts w:ascii="Courier New" w:hAnsi="Courier New"/>
          <w:b w:val="1"/>
          <w:bCs w:val="1"/>
          <w:sz w:val="24"/>
          <w:szCs w:val="24"/>
        </w:rPr>
      </w:pPr>
    </w:p>
    <w:p>
      <w:pPr>
        <w:jc w:val="center"/>
        <w:rPr>
          <w:rFonts w:ascii="Courier New" w:hAnsi="Courier New"/>
          <w:b w:val="1"/>
          <w:bCs w:val="1"/>
          <w:sz w:val="24"/>
          <w:szCs w:val="24"/>
        </w:rPr>
      </w:pPr>
    </w:p>
    <w:p>
      <w:pPr>
        <w:rPr>
          <w:rFonts w:ascii="Courier New" w:hAnsi="Courier New"/>
          <w:sz w:val="24"/>
          <w:szCs w:val="24"/>
        </w:rPr>
      </w:pPr>
    </w:p>
    <w:p>
      <w:pPr>
        <w:rPr>
          <w:rFonts w:ascii="Courier New" w:hAnsi="Courier New"/>
          <w:b w:val="1"/>
          <w:bCs w:val="1"/>
          <w:sz w:val="24"/>
          <w:szCs w:val="24"/>
        </w:rPr>
      </w:pPr>
      <w:r>
        <w:rPr>
          <w:rFonts w:ascii="Courier New" w:hAnsi="Courier New"/>
          <w:sz w:val="24"/>
          <w:szCs w:val="24"/>
        </w:rPr>
        <w:t>...///2.-</w:t>
      </w:r>
    </w:p>
    <w:p>
      <w:pPr>
        <w:jc w:val="center"/>
        <w:rPr>
          <w:rFonts w:ascii="Courier New" w:hAnsi="Courier New"/>
          <w:b w:val="1"/>
          <w:bCs w:val="1"/>
          <w:sz w:val="24"/>
          <w:szCs w:val="24"/>
        </w:rPr>
      </w:pPr>
    </w:p>
    <w:p>
      <w:pPr>
        <w:jc w:val="center"/>
        <w:rPr>
          <w:rFonts w:ascii="Courier New" w:hAnsi="Courier New"/>
          <w:b w:val="1"/>
          <w:bCs w:val="1"/>
          <w:sz w:val="24"/>
          <w:szCs w:val="24"/>
        </w:rPr>
      </w:pPr>
    </w:p>
    <w:p>
      <w:pPr>
        <w:jc w:val="center"/>
        <w:rPr>
          <w:rFonts w:ascii="Courier New" w:hAnsi="Courier New"/>
          <w:b w:val="1"/>
          <w:bCs w:val="1"/>
          <w:sz w:val="24"/>
          <w:szCs w:val="24"/>
        </w:rPr>
      </w:pPr>
      <w:r>
        <w:rPr>
          <w:rFonts w:ascii="Courier New" w:hAnsi="Courier New"/>
          <w:b w:val="1"/>
          <w:bCs w:val="1"/>
          <w:sz w:val="24"/>
          <w:szCs w:val="24"/>
        </w:rPr>
        <w:t>EL HONORABLE CONCEJO DELIBERANTE DE LA CIUDAD DE</w:t>
      </w:r>
    </w:p>
    <w:p>
      <w:pPr>
        <w:jc w:val="center"/>
        <w:rPr>
          <w:rFonts w:ascii="Courier New" w:hAnsi="Courier New"/>
          <w:b w:val="1"/>
          <w:bCs w:val="1"/>
          <w:sz w:val="24"/>
          <w:szCs w:val="24"/>
        </w:rPr>
      </w:pPr>
    </w:p>
    <w:p>
      <w:pPr>
        <w:pStyle w:val="P1"/>
        <w:rPr>
          <w:rFonts w:ascii="Courier New" w:hAnsi="Courier New"/>
        </w:rPr>
      </w:pPr>
      <w:r>
        <w:rPr>
          <w:rFonts w:ascii="Courier New" w:hAnsi="Courier New"/>
        </w:rPr>
        <w:t>ALTA GRACIA SANCIONA CON FUERZA DE ORDENANZA</w:t>
      </w:r>
    </w:p>
    <w:p>
      <w:pPr>
        <w:rPr>
          <w:rFonts w:ascii="Courier New" w:hAnsi="Courier New"/>
          <w:sz w:val="24"/>
          <w:szCs w:val="24"/>
        </w:rPr>
      </w:pPr>
    </w:p>
    <w:p>
      <w:pPr>
        <w:jc w:val="right"/>
        <w:rPr>
          <w:rFonts w:ascii="Courier New" w:hAnsi="Courier New"/>
          <w:b w:val="1"/>
          <w:bCs w:val="1"/>
          <w:sz w:val="24"/>
          <w:szCs w:val="24"/>
          <w:u w:val="single"/>
        </w:rPr>
      </w:pPr>
    </w:p>
    <w:p>
      <w:pPr>
        <w:jc w:val="both"/>
        <w:rPr>
          <w:rFonts w:ascii="Courier New" w:hAnsi="Courier New"/>
          <w:sz w:val="24"/>
          <w:szCs w:val="24"/>
        </w:rPr>
      </w:pPr>
      <w:r>
        <w:rPr>
          <w:rFonts w:ascii="Courier New" w:hAnsi="Courier New"/>
          <w:b w:val="1"/>
          <w:bCs w:val="1"/>
          <w:sz w:val="24"/>
          <w:szCs w:val="24"/>
          <w:u w:val="single"/>
        </w:rPr>
        <w:t>Art.1</w:t>
      </w:r>
      <w:r>
        <w:rPr>
          <w:rFonts w:ascii="Courier New" w:hAnsi="Courier New"/>
          <w:b w:val="1"/>
          <w:bCs w:val="1"/>
          <w:sz w:val="24"/>
          <w:szCs w:val="24"/>
        </w:rPr>
        <w:t xml:space="preserve">: AUTORIZASE </w:t>
      </w:r>
      <w:r>
        <w:rPr>
          <w:rFonts w:ascii="Courier New" w:hAnsi="Courier New"/>
          <w:sz w:val="24"/>
          <w:szCs w:val="24"/>
        </w:rPr>
        <w:t xml:space="preserve">a los propietarios de las viviendas existentes en el inmueble Designación Catastral  3-1-148-5, ubicado en calle Int. Peralta entre Agustín Aguirre y Uruguay de Barrio Cámara de nuestra Ciudad, y al Profesional Ingeniero Aníbal Gallará a realizar una subdivisión simple sobre dicho inmueble, sin el cumplimiento del Art. 259 de la Ordenanza N° 1294 (Código de Edificación y Urbanización de Alta Gracia).-</w:t>
      </w:r>
    </w:p>
    <w:p>
      <w:pPr>
        <w:ind w:hanging="709" w:left="709"/>
        <w:jc w:val="both"/>
        <w:rPr>
          <w:rFonts w:ascii="Courier New" w:hAnsi="Courier New"/>
          <w:sz w:val="24"/>
          <w:szCs w:val="24"/>
        </w:rPr>
      </w:pPr>
      <w:r>
        <w:rPr>
          <w:rFonts w:ascii="Courier New" w:hAnsi="Courier New"/>
          <w:sz w:val="24"/>
          <w:szCs w:val="24"/>
        </w:rPr>
        <w:t xml:space="preserve"> </w:t>
      </w:r>
    </w:p>
    <w:p>
      <w:pPr>
        <w:ind w:hanging="709" w:left="709"/>
        <w:jc w:val="both"/>
        <w:rPr>
          <w:rFonts w:ascii="Courier New" w:hAnsi="Courier New"/>
          <w:sz w:val="24"/>
          <w:szCs w:val="24"/>
        </w:rPr>
      </w:pPr>
      <w:r>
        <w:rPr>
          <w:rFonts w:ascii="Courier New" w:hAnsi="Courier New"/>
          <w:b w:val="1"/>
          <w:bCs w:val="1"/>
          <w:sz w:val="24"/>
          <w:szCs w:val="24"/>
          <w:u w:val="single"/>
        </w:rPr>
        <w:t>Art.2</w:t>
      </w:r>
      <w:r>
        <w:rPr>
          <w:rFonts w:ascii="Courier New" w:hAnsi="Courier New"/>
          <w:b w:val="1"/>
          <w:bCs w:val="1"/>
          <w:sz w:val="24"/>
          <w:szCs w:val="24"/>
        </w:rPr>
        <w:t>: PROTOCOLÍCESE</w:t>
      </w:r>
      <w:r>
        <w:rPr>
          <w:rFonts w:ascii="Courier New" w:hAnsi="Courier New"/>
          <w:sz w:val="24"/>
          <w:szCs w:val="24"/>
        </w:rPr>
        <w:t>, comuníquese, publíquese en el Boletín Oficial de la Ciudad de Alta Gracia, transcríbase al libro de Ordenanzas y Archívese.</w:t>
      </w:r>
    </w:p>
    <w:p>
      <w:pPr>
        <w:jc w:val="both"/>
        <w:rPr>
          <w:rFonts w:ascii="Courier New" w:hAnsi="Courier New"/>
          <w:sz w:val="24"/>
          <w:szCs w:val="24"/>
        </w:rPr>
      </w:pPr>
    </w:p>
    <w:p>
      <w:pPr>
        <w:jc w:val="both"/>
        <w:rPr>
          <w:rFonts w:ascii="Courier New" w:hAnsi="Courier New"/>
          <w:sz w:val="24"/>
          <w:szCs w:val="24"/>
        </w:rPr>
      </w:pPr>
    </w:p>
    <w:p>
      <w:pPr>
        <w:pStyle w:val="P9"/>
      </w:pPr>
      <w:r>
        <w:t>DADA EN LA SALA DE SESIONES DEL HONORABLE CONCEJO DELIBERANTE A LOS DOCE DÍAS DEL MES DE DICIEMBRE DEL AÑO DOS MIL OCHO.-</w:t>
      </w:r>
    </w:p>
    <w:sectPr>
      <w:type w:val="nextPage"/>
      <w:pgSz w:w="11907" w:h="16840" w:code="0"/>
      <w:pgMar w:left="1701" w:right="1701" w:top="1418" w:bottom="1418" w:header="720" w:footer="720" w:gutter="0"/>
      <w:cols w:equalWidth="1" w:space="72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BA547B8"/>
    <w:multiLevelType w:val="multilevel"/>
    <w:lvl w:ilvl="0">
      <w:start w:val="1"/>
      <w:numFmt w:val="decimal"/>
      <w:suff w:val="tab"/>
      <w:lvlText w:val="%1)"/>
      <w:lvlJc w:val="left"/>
      <w:pPr>
        <w:ind w:hanging="615" w:left="615"/>
        <w:tabs>
          <w:tab w:val="num" w:pos="61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54C54F30"/>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5"/>
  </w:num>
  <w:num w:numId="2">
    <w:abstractNumId w:val="0"/>
  </w:num>
  <w:num w:numId="3">
    <w:abstractNumId w:val="2"/>
  </w:num>
  <w:num w:numId="4">
    <w:abstractNumId w:val="3"/>
  </w:num>
  <w:num w:numId="5">
    <w:abstractNumId w:val="4"/>
  </w:num>
  <w:num w:numId="6">
    <w:abstractNumId w:val="1"/>
  </w:num>
</w:numbering>
</file>

<file path=word/settings.xml><?xml version="1.0" encoding="utf-8"?>
<w:settings xmlns:r="http://schemas.openxmlformats.org/officeDocument/2006/relationships" xmlns:w="http://schemas.openxmlformats.org/wordprocessingml/2006/main">
  <w:displayBackgroundShape w:val="0"/>
  <w:doNotTrackMoves/>
  <w:defaultTabStop w:val="708"/>
  <w:autoHyphenation w:val="0"/>
  <w:hyphenationZone w:val="425"/>
  <w:evenAndOddHeaders w:val="0"/>
  <w:characterSpacingControl w:val="compressPunctuation"/>
  <w:compat>
    <w:alignTablesRowByRow/>
    <w:splitPgBreakAndParaMark/>
    <w:doNotBreakConstrainedForcedTable/>
    <w:doNotVertAlignCellWithSp/>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paragraph" w:styleId="P10">
    <w:name w:val="Body Text 21"/>
    <w:basedOn w:val="P0"/>
    <w:next w:val="P10"/>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rFonts w:ascii="Times" w:hAnsi="Times"/>
      <w:b w:val="1"/>
      <w:bCs w:val="1"/>
      <w:color w:val="000000"/>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2026-07-09T18:18:34Z</dcterms:created>
  <cp:lastModifiedBy>Federico Parisi</cp:lastModifiedBy>
  <cp:lastPrinted>2008-12-22T01:50:00Z</cp:lastPrinted>
  <dcterms:modified xsi:type="dcterms:W3CDTF">2026-07-09T18:18:34Z</dcterms:modified>
  <cp:revision>2</cp:revision>
  <dc:title>P R O Y E C T O   D E   O R D E N A N Z A</dc:title>
</cp:coreProperties>
</file>