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832</w:t>
      </w:r>
      <w:r>
        <w:rPr>
          <w:rFonts w:ascii="Courier New" w:hAnsi="Courier New"/>
          <w:b w:val="1"/>
          <w:bCs w:val="1"/>
          <w:u w:val="single"/>
        </w:rPr>
        <w:t>4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 875/02</w:t>
      </w:r>
      <w:r>
        <w:rPr>
          <w:rFonts w:ascii="Courier New" w:hAnsi="Courier New"/>
          <w:b w:val="0"/>
          <w:bCs w:val="0"/>
        </w:rPr>
        <w:t>; y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en julio de 2002 y mediante nota,  la Sra. Oyola María Elvira,  solicita eximición de Tasa por Servicios a la Propiedad correspondiente al inmueble designación catastral 3-01-107-006-000 y de Tasa por Servicios de Administración y Mantenimientos de los Cementerios sobre la identificación 007126;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 xml:space="preserve">Que el relevamiento Socioeconómico y Ambiental nos indica que la Sra. Oyola es diabética, posee jubilación mínima y  energía eléctrica con tarifa social del ERsep;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21/25 consta estado de deuda emitido por la Dirección de Ingresos Públicos, parte de la cual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reunión mantenida con miembros de la Comisión, de Hacienda manifestó su imposibilidad de hacer frente a la deuda contraída y que su estado de salud le impide realizar otras labores;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 xml:space="preserve">   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el CIEN  POR CIENTO (100%) de la deuda no prescripta que  por Tasa de Servicios a la Propiedad posea con la Municipalidad de Alta Gracia, la Designación Catastral 03-01-107-006-000 a la fecha de promulgación de la presente.-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FIJA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una cuota mensual en concepto de Tasa por Servicios a la Propiedad de PESOS DIEZ ($10.00) a partir de la Promulgación de la presente, al inmueble designación catastral 3-01-107-006-000 y por el término de un año, momento en el que se deberá realizar nuevo estudio socioeconómico y en caso de mantenerse la situación, renovar el beneficio por un año mas.-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el CIEN POR CIENTO (100%) de la deuda no prescripta que por Tasa por Administración y Mantenimientos de los Cementerios posea con la Municipalidad de Alta Gracia, la identificación 007126 a la fecha de promulgación de la presente.-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EXIMIMASE</w:t>
      </w:r>
      <w:r>
        <w:rPr>
          <w:rFonts w:ascii="Courier New" w:hAnsi="Courier New"/>
        </w:rPr>
        <w:t xml:space="preserve"> los derechos sobre concesión de uso por el término de DIEZ (10) años correspondientes a los restos contenidos en la sepultura de referencia.-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16"/>
        <w:ind w:hanging="561" w:left="561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la falta de pago de TRES (3) cuotas consecutivas o alternadas, de la cuota  fijada así como la transferencia o cambio de titularidad del inmueble, hará caducar automáticamente el beneficio otorgado.-</w:t>
      </w:r>
    </w:p>
    <w:p>
      <w:pPr>
        <w:pStyle w:val="P16"/>
        <w:ind w:hanging="561" w:left="561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o los procuradores actuantes a fin de dejar sin efecto el/ los juicios iniciados,  honorarios generados, exceptuando gastos y derechos de ley a tales fines.-</w:t>
      </w:r>
    </w:p>
    <w:p>
      <w:pPr>
        <w:pStyle w:val="P16"/>
        <w:ind w:hanging="561" w:left="561"/>
        <w:jc w:val="both"/>
        <w:outlineLvl w:val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2026-07-09T18:12:31Z</dcterms:created>
  <cp:lastModifiedBy>Federico Parisi</cp:lastModifiedBy>
  <cp:lastPrinted>2008-12-17T22:06:00Z</cp:lastPrinted>
  <dcterms:modified xsi:type="dcterms:W3CDTF">2026-07-09T18:12:31Z</dcterms:modified>
  <cp:revision>2</cp:revision>
  <dc:title>PROYECTO DE ORDENANZA</dc:title>
</cp:coreProperties>
</file>