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8335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>1228/06</w:t>
      </w:r>
      <w:r>
        <w:rPr>
          <w:rFonts w:ascii="Courier New" w:hAnsi="Courier New"/>
          <w:b w:val="0"/>
          <w:bCs w:val="0"/>
        </w:rPr>
        <w:t>; y</w:t>
      </w:r>
    </w:p>
    <w:p/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la Sra. Olmedo Beatriz Angélica, solicita plan de pagos acorde a sus posibilidades, de la contribución por mejoras por pavimento;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inmueble comprendido es el ubicado en calle Intendente Llorens esquina Matheu de nuestra Ciudad;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efectuado el correspondiente relevamiento Socioeconómico y Ambiental (fs. 5), indica que los ingresos provienen del trabajo informal del esposo de la peticionante y  que  reciben módulo alimentario;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habitan en la propiedad de los padres de la Sra. Olmedo y el inmueble por el que solicitan es de su propiedad pero están construyendo su vivienda; 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7 consta estado de deuda emitido por Dirección de Ingresos Públicos;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AUTORÍ</w:t>
      </w:r>
      <w:r>
        <w:rPr>
          <w:rFonts w:ascii="Courier New" w:hAnsi="Courier New"/>
          <w:b w:val="1"/>
          <w:bCs w:val="1"/>
        </w:rPr>
        <w:t>ZASE</w:t>
      </w:r>
      <w:r>
        <w:rPr>
          <w:rFonts w:ascii="Courier New" w:hAnsi="Courier New"/>
        </w:rPr>
        <w:t xml:space="preserve"> al Departamento Ejecutivo  a través de la Dirección de Ingresos Públicos conceder plan de pagos a la Sra. Olmedo Beatriz Angélica por deuda por contribución por mejoras por pavimento, que posee el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inmueble Identificación 01573, Identificación Catastral 03-01-087-006-000-0145 en CUARENTA Y OCHO (48) cuotas, a valores históricos, sin intereses ni recargos.-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</w:t>
      </w:r>
      <w:r>
        <w:rPr>
          <w:rFonts w:ascii="Courier New" w:hAnsi="Courier New"/>
          <w:b w:val="1"/>
          <w:bCs w:val="1"/>
        </w:rPr>
        <w:t>STABLÉ</w:t>
      </w:r>
      <w:r>
        <w:rPr>
          <w:rFonts w:ascii="Courier New" w:hAnsi="Courier New"/>
          <w:b w:val="1"/>
          <w:bCs w:val="1"/>
        </w:rPr>
        <w:t xml:space="preserve">ZCASE </w:t>
      </w:r>
      <w:r>
        <w:rPr>
          <w:rFonts w:ascii="Courier New" w:hAnsi="Courier New"/>
        </w:rPr>
        <w:t>que la falta de pago de tres cuotas consecutivas o alternadas, así como la transferencia o cambio de titularidad del inmueble, hará caducar automáticamente el beneficio otorgado.-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2026-07-09T18:10:23Z</dcterms:created>
  <cp:lastModifiedBy>Federico Parisi</cp:lastModifiedBy>
  <cp:lastPrinted>2008-12-19T00:42:00Z</cp:lastPrinted>
  <dcterms:modified xsi:type="dcterms:W3CDTF">2026-07-09T18:10:23Z</dcterms:modified>
  <cp:revision>2</cp:revision>
  <dc:title>PROYECTO DE ORDENANZA</dc:title>
</cp:coreProperties>
</file>