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8337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El Expediente N° </w:t>
      </w:r>
      <w:r>
        <w:rPr>
          <w:rFonts w:ascii="Courier New" w:hAnsi="Courier New"/>
          <w:b w:val="0"/>
          <w:bCs w:val="0"/>
        </w:rPr>
        <w:t>293/06</w:t>
      </w:r>
      <w:r>
        <w:rPr>
          <w:rFonts w:ascii="Courier New" w:hAnsi="Courier New"/>
          <w:b w:val="0"/>
          <w:bCs w:val="0"/>
        </w:rPr>
        <w:t>; y</w:t>
      </w:r>
    </w:p>
    <w:p/>
    <w:p/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el mismo es iniciado mediante nota por el Sr. Stolbizer Carlos Alberto solicitando reconsideración sobre la aplicación de la Ordenanza Tarifaria vigente;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en dicha  nota hace una serie de consideraciones técnicas y legales dado las características que posee el inmueble de su propiedad y sobre el cual peticiona;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11/12 obra copia de escritura de dominio y a fs. 13 vta. Informe de Sección Catastro;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 el inmueble Designación Catastral 03-01-220-015, por subdivisión Régimen Propiedad Horizontal surgen P.H. 1, 2, 3, 4, 5, teniendo  el Sr. Stolbizer un porcentaje del 20,81% sobre los 150m</w:t>
      </w:r>
      <w:r>
        <w:rPr>
          <w:rFonts w:ascii="Courier New" w:hAnsi="Courier New"/>
          <w:vertAlign w:val="superscript"/>
        </w:rPr>
        <w:t>2</w:t>
      </w:r>
      <w:r>
        <w:rPr>
          <w:rFonts w:ascii="Courier New" w:hAnsi="Courier New"/>
        </w:rPr>
        <w:t xml:space="preserve"> del bien en cuestión;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se han aplicado en otros inmuebles existentes en la ciudad quitas reduciendo la cuota respectiva (Ordenanzas 3133 y 4861);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19 vta, Sección Catastro noticia que el Sr. Stolbizer es titular del inmueble registrado como unidad 3(PH) Expte. N° 1545/98, bajo la Designación Catastral 03-01-220-015 P.H.3;</w:t>
      </w:r>
    </w:p>
    <w:p>
      <w:pPr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Expediente de referencia por la Comisión de Hacienda, se emite despacho favorable, aprobado por unanimidad en Sesión Extraordinaria del día 19 de Diciembre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 w:eastAsia="MS Mincho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OTO</w:t>
      </w:r>
      <w:r>
        <w:rPr>
          <w:rFonts w:ascii="Courier New" w:hAnsi="Courier New"/>
          <w:b w:val="1"/>
          <w:bCs w:val="1"/>
        </w:rPr>
        <w:t>RGASE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 w:eastAsia="MS Mincho"/>
        </w:rPr>
        <w:t xml:space="preserve">una  disminución  del  CINCUENTA POR CIENTO</w:t>
      </w:r>
    </w:p>
    <w:p>
      <w:pPr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 w:eastAsia="MS Mincho"/>
        </w:rPr>
        <w:t xml:space="preserve">    (50%) en la Tasa por Servicios a la Propiedad al inmueble cuya Designación Catastral es </w:t>
      </w:r>
      <w:r>
        <w:rPr>
          <w:rFonts w:ascii="Courier New" w:hAnsi="Courier New"/>
        </w:rPr>
        <w:t>03-01-220-015 P.H.3</w:t>
      </w:r>
      <w:r>
        <w:rPr>
          <w:rFonts w:ascii="Courier New" w:hAnsi="Courier New" w:eastAsia="MS Mincho"/>
        </w:rPr>
        <w:t>, a partir del 01 de enero de 2006.-</w:t>
      </w: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AUTORÍZASE</w:t>
      </w:r>
      <w:r>
        <w:rPr>
          <w:rFonts w:ascii="Courier New" w:hAnsi="Courier New"/>
        </w:rPr>
        <w:t xml:space="preserve"> </w:t>
      </w:r>
      <w:r>
        <w:rPr>
          <w:rFonts w:ascii="Courier New" w:hAnsi="Courier New" w:eastAsia="MS Mincho"/>
        </w:rPr>
        <w:t xml:space="preserve">al Departamento Ejecutivo percibir el monto remanente adeudado por Tasa por Servicios a la Propiedad correspondiente al inmueble Designación Catastral </w:t>
      </w:r>
      <w:r>
        <w:rPr>
          <w:rFonts w:ascii="Courier New" w:hAnsi="Courier New"/>
        </w:rPr>
        <w:t>03-01-220-015 P.H.3 de contado y a valores históricos.-</w:t>
      </w: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 xml:space="preserve">: ESTABLÉZCASE </w:t>
      </w:r>
      <w:r>
        <w:rPr>
          <w:rFonts w:ascii="Courier New" w:hAnsi="Courier New"/>
        </w:rPr>
        <w:t xml:space="preserve">que tendrá vigencia el beneficio  otorgado en el precepto primero mientras el peticionante sea titular del inmueble de referencia.-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DIECINUEVE DIAS DEL MES DE DICIEMBRE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6A6B4A"/>
    <w:multiLevelType w:val="multilevel"/>
    <w:lvl w:ilvl="0">
      <w:start w:val="1"/>
      <w:numFmt w:val="decimal"/>
      <w:suff w:val="tab"/>
      <w:lvlText w:val="%1)"/>
      <w:lvlJc w:val="left"/>
      <w:pPr>
        <w:ind w:hanging="480" w:left="8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1174"/>
        <w:tabs>
          <w:tab w:val="num" w:pos="1174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Texto independiente 21"/>
    <w:basedOn w:val="P0"/>
    <w:next w:val="P16"/>
    <w:pPr>
      <w:jc w:val="center"/>
    </w:pPr>
    <w:rPr/>
  </w:style>
  <w:style w:type="paragraph" w:styleId="P17">
    <w:name w:val="Body Text 21"/>
    <w:basedOn w:val="P0"/>
    <w:next w:val="P17"/>
    <w:pPr>
      <w:jc w:val="center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2026-07-09T18:10:04Z</dcterms:created>
  <cp:lastModifiedBy>Federico Parisi</cp:lastModifiedBy>
  <cp:lastPrinted>2008-12-19T04:46:00Z</cp:lastPrinted>
  <dcterms:modified xsi:type="dcterms:W3CDTF">2026-07-09T18:10:04Z</dcterms:modified>
  <cp:revision>2</cp:revision>
  <dc:title>PROYECTO DE ORDENANZA</dc:title>
</cp:coreProperties>
</file>