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834</w:t>
      </w:r>
      <w:r>
        <w:rPr>
          <w:rFonts w:ascii="Courier New" w:hAnsi="Courier New"/>
          <w:b w:val="1"/>
          <w:bCs w:val="1"/>
          <w:u w:val="single"/>
        </w:rPr>
        <w:t>2</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edien</w:t>
      </w:r>
      <w:r>
        <w:rPr>
          <w:rFonts w:ascii="Courier New" w:hAnsi="Courier New"/>
          <w:b w:val="0"/>
          <w:bCs w:val="0"/>
        </w:rPr>
        <w:t>t</w:t>
      </w:r>
      <w:r>
        <w:rPr>
          <w:rFonts w:ascii="Courier New" w:hAnsi="Courier New"/>
          <w:b w:val="0"/>
          <w:bCs w:val="0"/>
        </w:rPr>
        <w:t>e</w:t>
      </w:r>
      <w:r>
        <w:rPr>
          <w:rFonts w:ascii="Courier New" w:hAnsi="Courier New"/>
          <w:b w:val="0"/>
          <w:bCs w:val="0"/>
        </w:rPr>
        <w:t xml:space="preserve"> N° 1310/08 iniciado por López, Maximiliano</w:t>
      </w:r>
      <w:r>
        <w:rPr>
          <w:rFonts w:ascii="Courier New" w:hAnsi="Courier New"/>
          <w:b w:val="0"/>
          <w:bCs w:val="0"/>
        </w:rPr>
        <w:t>; y</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C O N S I D E R A N D O</w:t>
      </w:r>
    </w:p>
    <w:p>
      <w:pPr>
        <w:rPr>
          <w:rFonts w:ascii="Courier New" w:hAnsi="Courier New"/>
        </w:rPr>
      </w:pPr>
    </w:p>
    <w:p>
      <w:pPr>
        <w:rPr>
          <w:rFonts w:ascii="Courier New" w:hAnsi="Courier New"/>
        </w:rPr>
      </w:pPr>
    </w:p>
    <w:p>
      <w:pPr>
        <w:pStyle w:val="P17"/>
      </w:pPr>
      <w:r>
        <w:t>Que en el mismo se solicita la autorización para la instalación de una Cancha de Fútbol 5 en el inmueble designación Catastral 1-1-184-1, ubicado en calle Pedro Bútori esq. Cristóbal García de Barrio El Cañito de nuestra Ciudad, sin el cumplimiento del Art. 251 (De los usos) de la Ordenanza N° 1294 (Código de Edificación y Urbanización de Alta Gracia);</w:t>
      </w:r>
    </w:p>
    <w:p>
      <w:pPr>
        <w:pStyle w:val="P17"/>
      </w:pPr>
    </w:p>
    <w:p>
      <w:pPr>
        <w:pStyle w:val="P17"/>
      </w:pPr>
      <w:r>
        <w:t>Que a Fs. 7 el Área Obras Privadas informa que el uso pretendido no condice con los establecidos por la citada norma;</w:t>
      </w:r>
    </w:p>
    <w:p>
      <w:pPr>
        <w:pStyle w:val="P17"/>
      </w:pPr>
    </w:p>
    <w:p>
      <w:pPr>
        <w:pStyle w:val="P17"/>
      </w:pPr>
      <w:r>
        <w:t xml:space="preserve">Que a Fs. 4, 5 y 6 vta. existen copias de cedulones del servicio Tasas por Servicios a la Propiedad del inmueble de referencia e informe de Sección Catastro de lo que se desprende que los propietarios del terreno son los Sres. Avalo Daniel R. Y Bonannata M.; </w:t>
      </w:r>
    </w:p>
    <w:p>
      <w:pPr>
        <w:pStyle w:val="P17"/>
      </w:pPr>
    </w:p>
    <w:p>
      <w:pPr>
        <w:pStyle w:val="P17"/>
      </w:pPr>
      <w:r>
        <w:t xml:space="preserve">Que a Fs. 11 el Sr. Maximiliano López, DNI: 29.615.758, presenta nueva nota en la que manifiesta el pedido de excepción a la normativa vigente; </w:t>
      </w:r>
    </w:p>
    <w:p>
      <w:pPr>
        <w:pStyle w:val="P17"/>
      </w:pPr>
    </w:p>
    <w:p>
      <w:pPr>
        <w:pStyle w:val="P17"/>
      </w:pPr>
      <w:r>
        <w:t>Que a Fs. 14 y 15 se adjunta copia de contrato de locación (Ley 23.091) del predio a fin de llevar adelante el emprendimiento;</w:t>
      </w:r>
    </w:p>
    <w:p>
      <w:pPr>
        <w:pStyle w:val="P17"/>
      </w:pPr>
    </w:p>
    <w:p>
      <w:pPr>
        <w:pStyle w:val="P17"/>
      </w:pPr>
      <w:r>
        <w:t xml:space="preserve">Que a Fs. 16 se adjunta copia de nota con la firma de conformidad de los vecinos colindantes al terreno; </w:t>
      </w:r>
    </w:p>
    <w:p>
      <w:pPr>
        <w:pStyle w:val="P17"/>
      </w:pPr>
    </w:p>
    <w:p>
      <w:pPr>
        <w:pStyle w:val="P17"/>
      </w:pPr>
      <w:r>
        <w:t>Que visitado el lugar por esta Comisión se observo que actualmente el lugar carece de iluminación e higiene, y que con la instalación de este proyecto cambiaría sustancialmente la zona, para beneficio y mejora de los Vecinos que allí viven;</w:t>
      </w:r>
    </w:p>
    <w:p>
      <w:pPr>
        <w:pStyle w:val="P17"/>
      </w:pPr>
    </w:p>
    <w:p>
      <w:pPr>
        <w:pStyle w:val="P17"/>
        <w:jc w:val="right"/>
      </w:pPr>
      <w:r>
        <w:t>...///</w:t>
      </w:r>
    </w:p>
    <w:p>
      <w:pPr>
        <w:pStyle w:val="P17"/>
      </w:pPr>
    </w:p>
    <w:p>
      <w:pPr>
        <w:pStyle w:val="P17"/>
      </w:pPr>
    </w:p>
    <w:p>
      <w:pPr>
        <w:pStyle w:val="P17"/>
      </w:pPr>
    </w:p>
    <w:p>
      <w:pPr>
        <w:pStyle w:val="P17"/>
      </w:pPr>
    </w:p>
    <w:p>
      <w:pPr>
        <w:pStyle w:val="P17"/>
      </w:pPr>
    </w:p>
    <w:p>
      <w:pPr>
        <w:pStyle w:val="P17"/>
      </w:pPr>
    </w:p>
    <w:p>
      <w:pPr>
        <w:pStyle w:val="P17"/>
      </w:pPr>
    </w:p>
    <w:p>
      <w:pPr>
        <w:pStyle w:val="P17"/>
        <w:ind w:left="0"/>
      </w:pPr>
      <w:r>
        <w:t>...///2.-</w:t>
      </w:r>
    </w:p>
    <w:p>
      <w:pPr>
        <w:pStyle w:val="P17"/>
      </w:pPr>
    </w:p>
    <w:p>
      <w:pPr>
        <w:pStyle w:val="P17"/>
      </w:pPr>
      <w:r>
        <w:t xml:space="preserve">Que haciendo averiguaciones en la Dirección de Ingresos Públicos de la Municipalidad, se observa que los titulares del inmueble, poseen una deuda del servicio mencionado anteriormente, próxima a ser elevado para cobro judicial por parte del Área de Procuración Municipal. Hecho que se le informa a los interesados, quienes realizan plan de pago N°  01004670, cuya copia se adjunta al igual que el pago del anticipo correspondiente;  </w:t>
      </w:r>
    </w:p>
    <w:p>
      <w:pPr>
        <w:ind w:left="561"/>
        <w:jc w:val="both"/>
        <w:rPr>
          <w:rFonts w:ascii="Courier New" w:hAnsi="Courier New"/>
        </w:rPr>
      </w:pPr>
    </w:p>
    <w:p>
      <w:pPr>
        <w:ind w:left="561"/>
        <w:jc w:val="both"/>
        <w:rPr>
          <w:rFonts w:ascii="Courier New" w:hAnsi="Courier New"/>
        </w:rPr>
      </w:pPr>
      <w:r>
        <w:rPr>
          <w:rFonts w:ascii="Courier New" w:hAnsi="Courier New"/>
        </w:rPr>
        <w:t>Que analizado el Expediente la Comisión de Obras y Servicios Públicos, la misma emite despacho favorable, aprobado por unanimidad en Sesión Extraordinaria del día 19 de Diciembre de 2008.-</w:t>
      </w:r>
    </w:p>
    <w:p>
      <w:pPr>
        <w:rPr>
          <w:rFonts w:ascii="Courier New" w:hAnsi="Courier New"/>
        </w:rPr>
      </w:pPr>
    </w:p>
    <w:p>
      <w:pPr>
        <w:pStyle w:val="P3"/>
        <w:rPr>
          <w:rFonts w:ascii="Courier New" w:hAnsi="Courier New"/>
        </w:rPr>
      </w:pPr>
    </w:p>
    <w:p>
      <w:pPr>
        <w:pStyle w:val="P3"/>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12"/>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rPr>
      </w:pPr>
    </w:p>
    <w:p>
      <w:pPr>
        <w:jc w:val="both"/>
        <w:rPr>
          <w:rFonts w:ascii="Courier New" w:hAnsi="Courier New"/>
        </w:rPr>
      </w:pPr>
    </w:p>
    <w:p>
      <w:pPr>
        <w:pStyle w:val="P17"/>
        <w:ind w:hanging="561"/>
      </w:pPr>
      <w:r>
        <w:rPr>
          <w:b w:val="1"/>
          <w:bCs w:val="1"/>
          <w:u w:val="single"/>
        </w:rPr>
        <w:t>Art.1</w:t>
      </w:r>
      <w:r>
        <w:t xml:space="preserve">: </w:t>
      </w:r>
      <w:r>
        <w:rPr>
          <w:b w:val="1"/>
          <w:bCs w:val="1"/>
        </w:rPr>
        <w:t>AUTORIZASE</w:t>
      </w:r>
      <w:r>
        <w:t xml:space="preserve"> al Sr. Maximiliano López, DNI N° 29.615.758, a realizar la instalación de una Cancha de Fútbol 5 en el inmueble Designación Catastral 1-1-184-1, ubicado en calle Pedro Bútori esq. Cristóbal García de Barrio El Cañito de nuestra Ciudad, sin el cumplimiento del Art. 251 (De los usos) de la Ordenanza N° 1294 (Código de Edificación y Urbanización de Alta Gracia).-</w:t>
      </w:r>
    </w:p>
    <w:p>
      <w:pPr>
        <w:pStyle w:val="P17"/>
        <w:ind w:hanging="561"/>
        <w:rPr>
          <w:b w:val="1"/>
          <w:bCs w:val="1"/>
          <w:u w:val="single"/>
        </w:rPr>
      </w:pPr>
    </w:p>
    <w:p>
      <w:pPr>
        <w:pStyle w:val="P17"/>
        <w:ind w:hanging="561"/>
      </w:pPr>
      <w:r>
        <w:rPr>
          <w:b w:val="1"/>
          <w:bCs w:val="1"/>
          <w:u w:val="single"/>
        </w:rPr>
        <w:t>Art.2</w:t>
      </w:r>
      <w:r>
        <w:rPr>
          <w:b w:val="1"/>
          <w:bCs w:val="1"/>
        </w:rPr>
        <w:t>:</w:t>
      </w:r>
      <w:r>
        <w:rPr>
          <w:b w:val="1"/>
          <w:bCs w:val="1"/>
        </w:rPr>
        <w:t xml:space="preserve"> </w:t>
      </w:r>
      <w:r>
        <w:rPr>
          <w:b w:val="1"/>
          <w:bCs w:val="1"/>
        </w:rPr>
        <w:t>CONDICIONA</w:t>
      </w:r>
      <w:r>
        <w:rPr>
          <w:b w:val="1"/>
          <w:bCs w:val="1"/>
        </w:rPr>
        <w:t>SE</w:t>
      </w:r>
      <w:r>
        <w:t xml:space="preserve"> la autorización del punto anterior al pago en tiempo y forma del plan de pago suscripto por los propietarios del inmueble, para lo cual el área recaudadora (Dirección de Ingresos Públicos) deberá mantener informar de tal situación al Área de Inspección General, quien deberá actuar en consecuencia.-</w:t>
      </w:r>
    </w:p>
    <w:p>
      <w:pPr>
        <w:pStyle w:val="P17"/>
        <w:ind w:left="0"/>
        <w:rPr>
          <w:b w:val="1"/>
          <w:bCs w:val="1"/>
          <w:u w:val="single"/>
        </w:rPr>
      </w:pPr>
    </w:p>
    <w:p>
      <w:pPr>
        <w:pStyle w:val="P17"/>
        <w:ind w:hanging="561"/>
      </w:pPr>
      <w:r>
        <w:rPr>
          <w:b w:val="1"/>
          <w:bCs w:val="1"/>
          <w:u w:val="single"/>
        </w:rPr>
        <w:t>Art.</w:t>
      </w:r>
      <w:r>
        <w:rPr>
          <w:b w:val="1"/>
          <w:bCs w:val="1"/>
          <w:u w:val="single"/>
        </w:rPr>
        <w:t>3</w:t>
      </w:r>
      <w:r>
        <w:rPr>
          <w:b w:val="1"/>
          <w:bCs w:val="1"/>
        </w:rPr>
        <w:t>:</w:t>
      </w:r>
      <w:r>
        <w:rPr>
          <w:b w:val="1"/>
          <w:bCs w:val="1"/>
        </w:rPr>
        <w:t xml:space="preserve"> DEBERÁ </w:t>
      </w:r>
      <w:r>
        <w:t xml:space="preserve">el Dpto. Ejecutivo por medio de las Áreas correspondientes exigir al interesado cumplir con todas </w:t>
      </w:r>
    </w:p>
    <w:p>
      <w:pPr>
        <w:pStyle w:val="P17"/>
        <w:ind w:hanging="561"/>
        <w:jc w:val="right"/>
      </w:pPr>
      <w:r>
        <w:t>...///</w:t>
      </w:r>
    </w:p>
    <w:p>
      <w:pPr>
        <w:pStyle w:val="P17"/>
        <w:ind w:hanging="561"/>
      </w:pPr>
    </w:p>
    <w:p>
      <w:pPr>
        <w:pStyle w:val="P17"/>
        <w:ind w:hanging="561"/>
      </w:pPr>
    </w:p>
    <w:p>
      <w:pPr>
        <w:pStyle w:val="P17"/>
        <w:ind w:hanging="561"/>
      </w:pPr>
    </w:p>
    <w:p>
      <w:pPr>
        <w:pStyle w:val="P17"/>
        <w:ind w:hanging="561"/>
      </w:pPr>
    </w:p>
    <w:p>
      <w:pPr>
        <w:pStyle w:val="P17"/>
        <w:ind w:hanging="561"/>
      </w:pPr>
    </w:p>
    <w:p>
      <w:pPr>
        <w:pStyle w:val="P17"/>
      </w:pPr>
    </w:p>
    <w:p>
      <w:pPr>
        <w:pStyle w:val="P17"/>
      </w:pPr>
    </w:p>
    <w:p>
      <w:pPr>
        <w:pStyle w:val="P17"/>
        <w:ind w:left="0"/>
      </w:pPr>
      <w:r>
        <w:t>...///3.-</w:t>
      </w:r>
    </w:p>
    <w:p>
      <w:pPr>
        <w:pStyle w:val="P17"/>
      </w:pPr>
    </w:p>
    <w:p>
      <w:pPr>
        <w:pStyle w:val="P17"/>
        <w:ind w:hanging="561"/>
      </w:pPr>
      <w:r>
        <w:t>las reglamentaciones vigentes en la materia, al momento de poner en funcionamiento del emprendimiento (Medidas de seguridad, Higiene, etc.).-</w:t>
      </w:r>
      <w:r>
        <w:rPr>
          <w:b w:val="1"/>
          <w:bCs w:val="1"/>
        </w:rPr>
        <w:t xml:space="preserve"> </w:t>
      </w:r>
      <w:r>
        <w:t xml:space="preserve">   </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la presente Ordenanza en el Boletín Oficial de la Municipalidad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9"/>
        <w:ind w:left="0"/>
      </w:pPr>
      <w:r>
        <w:t>DADA EN LA SALA DE SESIONES DEL HONORABLE CONCEJO DELIBERANTE A LOS DIECINUEVE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28900A4"/>
    <w:multiLevelType w:val="multilevel"/>
    <w:lvl w:ilvl="0">
      <w:start w:val="1"/>
      <w:numFmt w:val="decimal"/>
      <w:suff w:val="tab"/>
      <w:lvlText w:val="%1)"/>
      <w:lvlJc w:val="left"/>
      <w:pPr>
        <w:ind w:hanging="360" w:left="921"/>
        <w:tabs>
          <w:tab w:val="num" w:pos="92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5B3ADF"/>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21A02CE3"/>
    <w:multiLevelType w:val="multilevel"/>
    <w:lvl w:ilvl="0">
      <w:start w:val="1"/>
      <w:numFmt w:val="decimal"/>
      <w:suff w:val="tab"/>
      <w:lvlText w:val="%1)"/>
      <w:lvlJc w:val="left"/>
      <w:pPr>
        <w:ind w:hanging="465" w:left="1174"/>
        <w:tabs>
          <w:tab w:val="num" w:pos="1174"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2F074D76"/>
    <w:multiLevelType w:val="hybridMultilevel"/>
    <w:lvl w:ilvl="0" w:tplc="31F1D2B0">
      <w:start w:val="1"/>
      <w:numFmt w:val="bullet"/>
      <w:suff w:val="tab"/>
      <w:lvlText w:val="o"/>
      <w:lvlJc w:val="left"/>
      <w:pPr>
        <w:ind w:hanging="360" w:left="720"/>
        <w:tabs>
          <w:tab w:val="num" w:pos="720" w:leader="none"/>
        </w:tabs>
      </w:pPr>
      <w:rPr>
        <w:rFonts w:ascii="Courier New" w:hAnsi="Courier New" w:cs="Benguiat Bk BT"/>
      </w:rPr>
    </w:lvl>
    <w:lvl w:ilvl="1" w:tplc="0E01420E">
      <w:start w:val="1"/>
      <w:numFmt w:val="bullet"/>
      <w:suff w:val="tab"/>
      <w:lvlText w:val="o"/>
      <w:lvlJc w:val="left"/>
      <w:pPr>
        <w:ind w:hanging="360" w:left="1440"/>
        <w:tabs>
          <w:tab w:val="num" w:pos="1440" w:leader="none"/>
        </w:tabs>
      </w:pPr>
      <w:rPr>
        <w:rFonts w:ascii="Courier New" w:hAnsi="Courier New" w:cs="Benguiat Bk BT"/>
      </w:rPr>
    </w:lvl>
    <w:lvl w:ilvl="2" w:tplc="392813E3">
      <w:start w:val="1"/>
      <w:numFmt w:val="bullet"/>
      <w:suff w:val="tab"/>
      <w:lvlText w:val=""/>
      <w:lvlJc w:val="left"/>
      <w:pPr>
        <w:ind w:hanging="360" w:left="2160"/>
        <w:tabs>
          <w:tab w:val="num" w:pos="2160" w:leader="none"/>
        </w:tabs>
      </w:pPr>
      <w:rPr>
        <w:rFonts w:ascii="Wingdings" w:hAnsi="Wingdings"/>
      </w:rPr>
    </w:lvl>
    <w:lvl w:ilvl="3" w:tplc="3E1EE8A7">
      <w:start w:val="1"/>
      <w:numFmt w:val="bullet"/>
      <w:suff w:val="tab"/>
      <w:lvlText w:val=""/>
      <w:lvlJc w:val="left"/>
      <w:pPr>
        <w:ind w:hanging="360" w:left="2880"/>
        <w:tabs>
          <w:tab w:val="num" w:pos="2880" w:leader="none"/>
        </w:tabs>
      </w:pPr>
      <w:rPr>
        <w:rFonts w:ascii="Symbol" w:hAnsi="Symbol"/>
      </w:rPr>
    </w:lvl>
    <w:lvl w:ilvl="4" w:tplc="3546E7AA">
      <w:start w:val="1"/>
      <w:numFmt w:val="bullet"/>
      <w:suff w:val="tab"/>
      <w:lvlText w:val="o"/>
      <w:lvlJc w:val="left"/>
      <w:pPr>
        <w:ind w:hanging="360" w:left="3600"/>
        <w:tabs>
          <w:tab w:val="num" w:pos="3600" w:leader="none"/>
        </w:tabs>
      </w:pPr>
      <w:rPr>
        <w:rFonts w:ascii="Courier New" w:hAnsi="Courier New" w:cs="Benguiat Bk BT"/>
      </w:rPr>
    </w:lvl>
    <w:lvl w:ilvl="5" w:tplc="690760F4">
      <w:start w:val="1"/>
      <w:numFmt w:val="bullet"/>
      <w:suff w:val="tab"/>
      <w:lvlText w:val=""/>
      <w:lvlJc w:val="left"/>
      <w:pPr>
        <w:ind w:hanging="360" w:left="4320"/>
        <w:tabs>
          <w:tab w:val="num" w:pos="4320" w:leader="none"/>
        </w:tabs>
      </w:pPr>
      <w:rPr>
        <w:rFonts w:ascii="Wingdings" w:hAnsi="Wingdings"/>
      </w:rPr>
    </w:lvl>
    <w:lvl w:ilvl="6" w:tplc="40212551">
      <w:start w:val="1"/>
      <w:numFmt w:val="bullet"/>
      <w:suff w:val="tab"/>
      <w:lvlText w:val=""/>
      <w:lvlJc w:val="left"/>
      <w:pPr>
        <w:ind w:hanging="360" w:left="5040"/>
        <w:tabs>
          <w:tab w:val="num" w:pos="5040" w:leader="none"/>
        </w:tabs>
      </w:pPr>
      <w:rPr>
        <w:rFonts w:ascii="Symbol" w:hAnsi="Symbol"/>
      </w:rPr>
    </w:lvl>
    <w:lvl w:ilvl="7" w:tplc="225114A5">
      <w:start w:val="1"/>
      <w:numFmt w:val="bullet"/>
      <w:suff w:val="tab"/>
      <w:lvlText w:val="o"/>
      <w:lvlJc w:val="left"/>
      <w:pPr>
        <w:ind w:hanging="360" w:left="5760"/>
        <w:tabs>
          <w:tab w:val="num" w:pos="5760" w:leader="none"/>
        </w:tabs>
      </w:pPr>
      <w:rPr>
        <w:rFonts w:ascii="Courier New" w:hAnsi="Courier New" w:cs="Benguiat Bk BT"/>
      </w:rPr>
    </w:lvl>
    <w:lvl w:ilvl="8" w:tplc="2B32D73D">
      <w:start w:val="1"/>
      <w:numFmt w:val="bullet"/>
      <w:suff w:val="tab"/>
      <w:lvlText w:val=""/>
      <w:lvlJc w:val="left"/>
      <w:pPr>
        <w:ind w:hanging="360" w:left="6480"/>
        <w:tabs>
          <w:tab w:val="num" w:pos="6480" w:leader="none"/>
        </w:tabs>
      </w:pPr>
      <w:rPr>
        <w:rFonts w:ascii="Wingdings" w:hAnsi="Wingdings"/>
      </w:rPr>
    </w:lvl>
  </w:abstractNum>
  <w:abstractNum w:abstractNumId="6">
    <w:nsid w:val="33810D64"/>
    <w:multiLevelType w:val="multilevel"/>
    <w:lvl w:ilvl="0">
      <w:start w:val="1"/>
      <w:numFmt w:val="lowerLetter"/>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6636AF2"/>
    <w:multiLevelType w:val="hybridMultilevel"/>
    <w:lvl w:ilvl="0" w:tplc="76E53E65">
      <w:start w:val="1"/>
      <w:numFmt w:val="bullet"/>
      <w:suff w:val="tab"/>
      <w:lvlText w:val="o"/>
      <w:lvlJc w:val="left"/>
      <w:pPr>
        <w:ind w:hanging="360" w:left="720"/>
        <w:tabs>
          <w:tab w:val="num" w:pos="720" w:leader="none"/>
        </w:tabs>
      </w:pPr>
      <w:rPr>
        <w:rFonts w:ascii="Courier New" w:hAnsi="Courier New" w:cs="Benguiat Bk BT"/>
      </w:rPr>
    </w:lvl>
    <w:lvl w:ilvl="1" w:tplc="71DC5A99">
      <w:start w:val="1"/>
      <w:numFmt w:val="bullet"/>
      <w:suff w:val="tab"/>
      <w:lvlText w:val="o"/>
      <w:lvlJc w:val="left"/>
      <w:pPr>
        <w:ind w:hanging="360" w:left="1440"/>
        <w:tabs>
          <w:tab w:val="num" w:pos="1440" w:leader="none"/>
        </w:tabs>
      </w:pPr>
      <w:rPr>
        <w:rFonts w:ascii="Courier New" w:hAnsi="Courier New" w:cs="Benguiat Bk BT"/>
      </w:rPr>
    </w:lvl>
    <w:lvl w:ilvl="2" w:tplc="07530B6D">
      <w:start w:val="1"/>
      <w:numFmt w:val="bullet"/>
      <w:suff w:val="tab"/>
      <w:lvlText w:val=""/>
      <w:lvlJc w:val="left"/>
      <w:pPr>
        <w:ind w:hanging="360" w:left="2160"/>
        <w:tabs>
          <w:tab w:val="num" w:pos="2160" w:leader="none"/>
        </w:tabs>
      </w:pPr>
      <w:rPr>
        <w:rFonts w:ascii="Wingdings" w:hAnsi="Wingdings"/>
      </w:rPr>
    </w:lvl>
    <w:lvl w:ilvl="3" w:tplc="3D1D4595">
      <w:start w:val="1"/>
      <w:numFmt w:val="bullet"/>
      <w:suff w:val="tab"/>
      <w:lvlText w:val=""/>
      <w:lvlJc w:val="left"/>
      <w:pPr>
        <w:ind w:hanging="360" w:left="2880"/>
        <w:tabs>
          <w:tab w:val="num" w:pos="2880" w:leader="none"/>
        </w:tabs>
      </w:pPr>
      <w:rPr>
        <w:rFonts w:ascii="Symbol" w:hAnsi="Symbol"/>
      </w:rPr>
    </w:lvl>
    <w:lvl w:ilvl="4" w:tplc="7C10130C">
      <w:start w:val="1"/>
      <w:numFmt w:val="bullet"/>
      <w:suff w:val="tab"/>
      <w:lvlText w:val="o"/>
      <w:lvlJc w:val="left"/>
      <w:pPr>
        <w:ind w:hanging="360" w:left="3600"/>
        <w:tabs>
          <w:tab w:val="num" w:pos="3600" w:leader="none"/>
        </w:tabs>
      </w:pPr>
      <w:rPr>
        <w:rFonts w:ascii="Courier New" w:hAnsi="Courier New" w:cs="Benguiat Bk BT"/>
      </w:rPr>
    </w:lvl>
    <w:lvl w:ilvl="5" w:tplc="3A7D2AEF">
      <w:start w:val="1"/>
      <w:numFmt w:val="bullet"/>
      <w:suff w:val="tab"/>
      <w:lvlText w:val=""/>
      <w:lvlJc w:val="left"/>
      <w:pPr>
        <w:ind w:hanging="360" w:left="4320"/>
        <w:tabs>
          <w:tab w:val="num" w:pos="4320" w:leader="none"/>
        </w:tabs>
      </w:pPr>
      <w:rPr>
        <w:rFonts w:ascii="Wingdings" w:hAnsi="Wingdings"/>
      </w:rPr>
    </w:lvl>
    <w:lvl w:ilvl="6" w:tplc="0A28B205">
      <w:start w:val="1"/>
      <w:numFmt w:val="bullet"/>
      <w:suff w:val="tab"/>
      <w:lvlText w:val=""/>
      <w:lvlJc w:val="left"/>
      <w:pPr>
        <w:ind w:hanging="360" w:left="5040"/>
        <w:tabs>
          <w:tab w:val="num" w:pos="5040" w:leader="none"/>
        </w:tabs>
      </w:pPr>
      <w:rPr>
        <w:rFonts w:ascii="Symbol" w:hAnsi="Symbol"/>
      </w:rPr>
    </w:lvl>
    <w:lvl w:ilvl="7" w:tplc="5C6E192B">
      <w:start w:val="1"/>
      <w:numFmt w:val="bullet"/>
      <w:suff w:val="tab"/>
      <w:lvlText w:val="o"/>
      <w:lvlJc w:val="left"/>
      <w:pPr>
        <w:ind w:hanging="360" w:left="5760"/>
        <w:tabs>
          <w:tab w:val="num" w:pos="5760" w:leader="none"/>
        </w:tabs>
      </w:pPr>
      <w:rPr>
        <w:rFonts w:ascii="Courier New" w:hAnsi="Courier New" w:cs="Benguiat Bk BT"/>
      </w:rPr>
    </w:lvl>
    <w:lvl w:ilvl="8" w:tplc="0C9BD5E5">
      <w:start w:val="1"/>
      <w:numFmt w:val="bullet"/>
      <w:suff w:val="tab"/>
      <w:lvlText w:val=""/>
      <w:lvlJc w:val="left"/>
      <w:pPr>
        <w:ind w:hanging="360" w:left="6480"/>
        <w:tabs>
          <w:tab w:val="num" w:pos="6480" w:leader="none"/>
        </w:tabs>
      </w:pPr>
      <w:rPr>
        <w:rFonts w:ascii="Wingdings" w:hAnsi="Wingdings"/>
      </w:rPr>
    </w:lvl>
  </w:abstractNum>
  <w:abstractNum w:abstractNumId="9">
    <w:nsid w:val="6FE97DDB"/>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7F677762"/>
    <w:multiLevelType w:val="hybridMultilevel"/>
    <w:lvl w:ilvl="0" w:tplc="73FD20B4">
      <w:start w:val="1"/>
      <w:numFmt w:val="bullet"/>
      <w:suff w:val="tab"/>
      <w:lvlText w:val="o"/>
      <w:lvlJc w:val="left"/>
      <w:pPr>
        <w:ind w:hanging="360" w:left="720"/>
        <w:tabs>
          <w:tab w:val="num" w:pos="720" w:leader="none"/>
        </w:tabs>
      </w:pPr>
      <w:rPr>
        <w:rFonts w:ascii="Courier New" w:hAnsi="Courier New" w:cs="Benguiat Bk BT"/>
      </w:rPr>
    </w:lvl>
    <w:lvl w:ilvl="1" w:tplc="4AF96C36">
      <w:start w:val="1"/>
      <w:numFmt w:val="bullet"/>
      <w:suff w:val="tab"/>
      <w:lvlText w:val="o"/>
      <w:lvlJc w:val="left"/>
      <w:pPr>
        <w:ind w:hanging="360" w:left="1440"/>
        <w:tabs>
          <w:tab w:val="num" w:pos="1440" w:leader="none"/>
        </w:tabs>
      </w:pPr>
      <w:rPr>
        <w:rFonts w:ascii="Courier New" w:hAnsi="Courier New" w:cs="Benguiat Bk BT"/>
      </w:rPr>
    </w:lvl>
    <w:lvl w:ilvl="2" w:tplc="58E5D4A1">
      <w:start w:val="1"/>
      <w:numFmt w:val="bullet"/>
      <w:suff w:val="tab"/>
      <w:lvlText w:val=""/>
      <w:lvlJc w:val="left"/>
      <w:pPr>
        <w:ind w:hanging="360" w:left="2160"/>
        <w:tabs>
          <w:tab w:val="num" w:pos="2160" w:leader="none"/>
        </w:tabs>
      </w:pPr>
      <w:rPr>
        <w:rFonts w:ascii="Wingdings" w:hAnsi="Wingdings"/>
      </w:rPr>
    </w:lvl>
    <w:lvl w:ilvl="3" w:tplc="6CA5AA01">
      <w:start w:val="1"/>
      <w:numFmt w:val="bullet"/>
      <w:suff w:val="tab"/>
      <w:lvlText w:val=""/>
      <w:lvlJc w:val="left"/>
      <w:pPr>
        <w:ind w:hanging="360" w:left="2880"/>
        <w:tabs>
          <w:tab w:val="num" w:pos="2880" w:leader="none"/>
        </w:tabs>
      </w:pPr>
      <w:rPr>
        <w:rFonts w:ascii="Symbol" w:hAnsi="Symbol"/>
      </w:rPr>
    </w:lvl>
    <w:lvl w:ilvl="4" w:tplc="55B0793F">
      <w:start w:val="1"/>
      <w:numFmt w:val="bullet"/>
      <w:suff w:val="tab"/>
      <w:lvlText w:val="o"/>
      <w:lvlJc w:val="left"/>
      <w:pPr>
        <w:ind w:hanging="360" w:left="3600"/>
        <w:tabs>
          <w:tab w:val="num" w:pos="3600" w:leader="none"/>
        </w:tabs>
      </w:pPr>
      <w:rPr>
        <w:rFonts w:ascii="Courier New" w:hAnsi="Courier New" w:cs="Benguiat Bk BT"/>
      </w:rPr>
    </w:lvl>
    <w:lvl w:ilvl="5" w:tplc="19CD97EB">
      <w:start w:val="1"/>
      <w:numFmt w:val="bullet"/>
      <w:suff w:val="tab"/>
      <w:lvlText w:val=""/>
      <w:lvlJc w:val="left"/>
      <w:pPr>
        <w:ind w:hanging="360" w:left="4320"/>
        <w:tabs>
          <w:tab w:val="num" w:pos="4320" w:leader="none"/>
        </w:tabs>
      </w:pPr>
      <w:rPr>
        <w:rFonts w:ascii="Wingdings" w:hAnsi="Wingdings"/>
      </w:rPr>
    </w:lvl>
    <w:lvl w:ilvl="6" w:tplc="5F502D68">
      <w:start w:val="1"/>
      <w:numFmt w:val="bullet"/>
      <w:suff w:val="tab"/>
      <w:lvlText w:val=""/>
      <w:lvlJc w:val="left"/>
      <w:pPr>
        <w:ind w:hanging="360" w:left="5040"/>
        <w:tabs>
          <w:tab w:val="num" w:pos="5040" w:leader="none"/>
        </w:tabs>
      </w:pPr>
      <w:rPr>
        <w:rFonts w:ascii="Symbol" w:hAnsi="Symbol"/>
      </w:rPr>
    </w:lvl>
    <w:lvl w:ilvl="7" w:tplc="345E15D8">
      <w:start w:val="1"/>
      <w:numFmt w:val="bullet"/>
      <w:suff w:val="tab"/>
      <w:lvlText w:val="o"/>
      <w:lvlJc w:val="left"/>
      <w:pPr>
        <w:ind w:hanging="360" w:left="5760"/>
        <w:tabs>
          <w:tab w:val="num" w:pos="5760" w:leader="none"/>
        </w:tabs>
      </w:pPr>
      <w:rPr>
        <w:rFonts w:ascii="Courier New" w:hAnsi="Courier New" w:cs="Benguiat Bk BT"/>
      </w:rPr>
    </w:lvl>
    <w:lvl w:ilvl="8" w:tplc="597FDC92">
      <w:start w:val="1"/>
      <w:numFmt w:val="bullet"/>
      <w:suff w:val="tab"/>
      <w:lvlText w:val=""/>
      <w:lvlJc w:val="left"/>
      <w:pPr>
        <w:ind w:hanging="360" w:left="6480"/>
        <w:tabs>
          <w:tab w:val="num" w:pos="6480" w:leader="none"/>
        </w:tabs>
      </w:pPr>
      <w:rPr>
        <w:rFonts w:ascii="Wingdings" w:hAnsi="Wingdings"/>
      </w:rPr>
    </w:lvl>
  </w:abstractNum>
  <w:num w:numId="1">
    <w:abstractNumId w:val="1"/>
  </w:num>
  <w:num w:numId="2">
    <w:abstractNumId w:val="10"/>
  </w:num>
  <w:num w:numId="3">
    <w:abstractNumId w:val="7"/>
  </w:num>
  <w:num w:numId="4">
    <w:abstractNumId w:val="3"/>
  </w:num>
  <w:num w:numId="5">
    <w:abstractNumId w:val="4"/>
  </w:num>
  <w:num w:numId="6">
    <w:abstractNumId w:val="6"/>
  </w:num>
  <w:num w:numId="7">
    <w:abstractNumId w:val="2"/>
  </w:num>
  <w:num w:numId="8">
    <w:abstractNumId w:val="0"/>
  </w:num>
  <w:num w:numId="9">
    <w:abstractNumId w:val="9"/>
  </w:num>
  <w:num w:numId="10">
    <w:abstractNumId w:val="8"/>
  </w:num>
  <w:num w:numId="11">
    <w:abstractNumId w:val="5"/>
  </w:num>
  <w:num w:numId="12">
    <w:abstractNumId w:val="1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4"/>
    <w:basedOn w:val="P0"/>
    <w:next w:val="P0"/>
    <w:pPr>
      <w:keepNext w:val="1"/>
      <w:widowControl w:val="0"/>
      <w:jc w:val="both"/>
      <w:outlineLvl w:val="3"/>
    </w:pPr>
    <w:rPr>
      <w:rFonts w:ascii="Courier New" w:hAnsi="Courier New"/>
      <w:b w:val="1"/>
      <w:bCs w:val="1"/>
      <w:u w:val="single"/>
    </w:rPr>
  </w:style>
  <w:style w:type="paragraph" w:styleId="P6">
    <w:name w:val="Heading 5"/>
    <w:basedOn w:val="P0"/>
    <w:next w:val="P0"/>
    <w:pPr>
      <w:keepNext w:val="1"/>
      <w:widowControl w:val="0"/>
      <w:jc w:val="both"/>
      <w:outlineLvl w:val="4"/>
    </w:pPr>
    <w:rPr>
      <w:rFonts w:ascii="Courier New" w:hAnsi="Courier New"/>
      <w:b w:val="1"/>
      <w:bCs w:val="1"/>
    </w:rPr>
  </w:style>
  <w:style w:type="paragraph" w:styleId="P7">
    <w:name w:val="Heading 6"/>
    <w:basedOn w:val="P0"/>
    <w:next w:val="P0"/>
    <w:pPr>
      <w:keepNext w:val="1"/>
      <w:jc w:val="center"/>
      <w:outlineLvl w:val="5"/>
    </w:pPr>
    <w:rPr>
      <w:rFonts w:ascii="Courier New" w:hAnsi="Courier New"/>
      <w:b w:val="1"/>
      <w:bCs w:val="1"/>
      <w:u w:val="single"/>
    </w:rPr>
  </w:style>
  <w:style w:type="paragraph" w:styleId="P8">
    <w:name w:val="Heading 7"/>
    <w:basedOn w:val="P0"/>
    <w:next w:val="P0"/>
    <w:pPr>
      <w:keepNext w:val="1"/>
      <w:ind w:firstLine="709"/>
      <w:jc w:val="both"/>
      <w:outlineLvl w:val="6"/>
    </w:pPr>
    <w:rPr>
      <w:rFonts w:ascii="Courier New" w:hAnsi="Courier New"/>
    </w:rPr>
  </w:style>
  <w:style w:type="paragraph" w:styleId="P9">
    <w:name w:val="Heading 8"/>
    <w:basedOn w:val="P0"/>
    <w:next w:val="P0"/>
    <w:pPr>
      <w:keepNext w:val="1"/>
      <w:ind w:left="360"/>
      <w:jc w:val="center"/>
      <w:outlineLvl w:val="7"/>
    </w:pPr>
    <w:rPr>
      <w:rFonts w:ascii="Courier New" w:hAnsi="Courier New"/>
      <w:b w:val="1"/>
      <w:bCs w:val="1"/>
      <w:u w:val="single"/>
    </w:rPr>
  </w:style>
  <w:style w:type="paragraph" w:styleId="P10">
    <w:name w:val="Envelope Return"/>
    <w:basedOn w:val="P0"/>
    <w:next w:val="P10"/>
    <w:pPr/>
    <w:rPr>
      <w:rFonts w:ascii="Benguiat Bk BT" w:hAnsi="Benguiat Bk BT" w:cs="Arial"/>
      <w:b w:val="1"/>
      <w:i w:val="1"/>
      <w:bCs w:val="1"/>
      <w:iCs w:val="1"/>
      <w:u w:val="single"/>
    </w:rPr>
  </w:style>
  <w:style w:type="paragraph" w:styleId="P11">
    <w:name w:val="Plain Text"/>
    <w:basedOn w:val="P0"/>
    <w:next w:val="P11"/>
    <w:pPr/>
    <w:rPr>
      <w:rFonts w:ascii="Courier New" w:hAnsi="Courier New"/>
      <w:sz w:val="20"/>
      <w:szCs w:val="20"/>
      <w:lang/>
    </w:rPr>
  </w:style>
  <w:style w:type="paragraph" w:styleId="P12">
    <w:name w:val="Body Text"/>
    <w:basedOn w:val="P0"/>
    <w:next w:val="P12"/>
    <w:pPr>
      <w:jc w:val="both"/>
    </w:pPr>
    <w:rPr>
      <w:rFonts w:ascii="Courier New" w:hAnsi="Courier New"/>
    </w:rPr>
  </w:style>
  <w:style w:type="paragraph" w:styleId="P13">
    <w:name w:val="Title"/>
    <w:basedOn w:val="P0"/>
    <w:next w:val="P13"/>
    <w:pPr>
      <w:jc w:val="center"/>
    </w:pPr>
    <w:rPr>
      <w:rFonts w:ascii="Courier New" w:hAnsi="Courier New"/>
      <w:b w:val="1"/>
      <w:bCs w:val="1"/>
    </w:rPr>
  </w:style>
  <w:style w:type="paragraph" w:styleId="P14">
    <w:name w:val="Body Text 3"/>
    <w:basedOn w:val="P0"/>
    <w:next w:val="P14"/>
    <w:pPr>
      <w:jc w:val="both"/>
    </w:pPr>
    <w:rPr>
      <w:rFonts w:ascii="Courier New" w:hAnsi="Courier New"/>
      <w:b w:val="1"/>
      <w:bCs w:val="1"/>
    </w:rPr>
  </w:style>
  <w:style w:type="paragraph" w:styleId="P15">
    <w:name w:val="Body Text 2"/>
    <w:basedOn w:val="P0"/>
    <w:next w:val="P15"/>
    <w:pPr>
      <w:jc w:val="both"/>
    </w:pPr>
    <w:rPr>
      <w:sz w:val="28"/>
      <w:szCs w:val="28"/>
    </w:rPr>
  </w:style>
  <w:style w:type="paragraph" w:styleId="P16">
    <w:name w:val="Texto de globo"/>
    <w:basedOn w:val="P0"/>
    <w:next w:val="P16"/>
    <w:pPr/>
    <w:rPr>
      <w:rFonts w:ascii="Tahoma" w:hAnsi="Tahoma" w:cs="Tahoma"/>
      <w:sz w:val="16"/>
      <w:szCs w:val="16"/>
    </w:rPr>
  </w:style>
  <w:style w:type="paragraph" w:styleId="P17">
    <w:name w:val="Body Text Indent"/>
    <w:basedOn w:val="P0"/>
    <w:next w:val="P17"/>
    <w:pPr>
      <w:ind w:left="561"/>
      <w:jc w:val="both"/>
    </w:pPr>
    <w:rPr>
      <w:rFonts w:ascii="Courier New" w:hAnsi="Courier New"/>
    </w:rPr>
  </w:style>
  <w:style w:type="paragraph" w:styleId="P18">
    <w:name w:val="Body Text Indent 2"/>
    <w:basedOn w:val="P0"/>
    <w:next w:val="P18"/>
    <w:pPr>
      <w:ind w:left="748"/>
      <w:jc w:val="both"/>
    </w:pPr>
    <w:rPr>
      <w:rFonts w:ascii="Courier New" w:hAnsi="Courier New"/>
    </w:rPr>
  </w:style>
  <w:style w:type="paragraph" w:styleId="P19">
    <w:name w:val="Body Text Indent 3"/>
    <w:basedOn w:val="P0"/>
    <w:next w:val="P19"/>
    <w:pPr>
      <w:ind w:left="748"/>
      <w:jc w:val="both"/>
    </w:pPr>
    <w:rPr>
      <w:rFonts w:ascii="Courier New" w:hAnsi="Courier New"/>
      <w:b w:val="1"/>
      <w:bCs w:val="1"/>
    </w:rPr>
  </w:style>
  <w:style w:type="paragraph" w:styleId="P20">
    <w:name w:val="Texto independiente 21"/>
    <w:basedOn w:val="P0"/>
    <w:next w:val="P20"/>
    <w:pPr>
      <w:jc w:val="center"/>
    </w:pPr>
    <w:rPr/>
  </w:style>
  <w:style w:type="paragraph" w:styleId="P21">
    <w:name w:val="Body Text 21"/>
    <w:basedOn w:val="P0"/>
    <w:next w:val="P21"/>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2026-07-09T18:09:04Z</dcterms:created>
  <cp:lastModifiedBy>Federico Parisi</cp:lastModifiedBy>
  <cp:lastPrinted>2009-01-05T01:14:00Z</cp:lastPrinted>
  <dcterms:modified xsi:type="dcterms:W3CDTF">2026-07-09T18:09:04Z</dcterms:modified>
  <cp:revision>2</cp:revision>
  <dc:title>PROYECTO DE ORDENANZA</dc:title>
</cp:coreProperties>
</file>