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pStyle w:val="P1"/>
        <w:rPr>
          <w:u w:val="single"/>
        </w:rPr>
      </w:pPr>
    </w:p>
    <w:p>
      <w:pPr>
        <w:pStyle w:val="P1"/>
        <w:rPr>
          <w:u w:val="single"/>
        </w:rPr>
      </w:pPr>
    </w:p>
    <w:p>
      <w:pPr>
        <w:pStyle w:val="P1"/>
        <w:rPr>
          <w:u w:val="single"/>
        </w:rPr>
      </w:pPr>
    </w:p>
    <w:p>
      <w:pPr>
        <w:pStyle w:val="P1"/>
        <w:rPr>
          <w:u w:val="single"/>
        </w:rPr>
      </w:pPr>
    </w:p>
    <w:p>
      <w:pPr>
        <w:pStyle w:val="P1"/>
        <w:rPr>
          <w:u w:val="single"/>
        </w:rPr>
      </w:pPr>
      <w:r>
        <w:rPr>
          <w:u w:val="single"/>
        </w:rPr>
        <w:t xml:space="preserve">ORDENANZA  N° 8362</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pStyle w:val="P3"/>
        <w:ind w:hanging="748" w:left="748"/>
      </w:pPr>
      <w:r>
        <w:t xml:space="preserve">Visto: Que la violencia familiar es una problemática psicosocial que define una situación particular que evidencian las últimas estadísticas policiales – judiciales;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jc w:val="both"/>
        <w:rPr>
          <w:rFonts w:ascii="Courier New" w:hAnsi="Courier New"/>
        </w:rPr>
      </w:pPr>
    </w:p>
    <w:p>
      <w:pPr>
        <w:pStyle w:val="P4"/>
      </w:pPr>
      <w:r>
        <w:t>Que la problemática antedicha, si bien se corresponde con resortes exclusivos de la legislación nacional y provincial, ello no quita que los Órganos Legislativos de cada Ciudad contribuyan con políticas complementarias tendientes a encauzar la situación desde las realidades locales;</w:t>
      </w:r>
    </w:p>
    <w:p>
      <w:pPr>
        <w:ind w:left="748"/>
        <w:jc w:val="both"/>
        <w:rPr>
          <w:rFonts w:ascii="Courier New" w:hAnsi="Courier New"/>
        </w:rPr>
      </w:pPr>
    </w:p>
    <w:p>
      <w:pPr>
        <w:ind w:left="748"/>
        <w:jc w:val="both"/>
        <w:rPr>
          <w:rFonts w:ascii="Courier New" w:hAnsi="Courier New"/>
        </w:rPr>
      </w:pPr>
      <w:r>
        <w:rPr>
          <w:rFonts w:ascii="Courier New" w:hAnsi="Courier New"/>
        </w:rPr>
        <w:t>Que urge encontrar mecanismos que posibiliten una mejor prevención en la materia y contención para con las víctimas de éste tipo de delito;</w:t>
      </w:r>
    </w:p>
    <w:p>
      <w:pPr>
        <w:ind w:left="748"/>
        <w:jc w:val="both"/>
        <w:rPr>
          <w:rFonts w:ascii="Courier New" w:hAnsi="Courier New"/>
        </w:rPr>
      </w:pPr>
    </w:p>
    <w:p>
      <w:pPr>
        <w:ind w:left="748"/>
        <w:jc w:val="both"/>
        <w:rPr>
          <w:rFonts w:ascii="Courier New" w:hAnsi="Courier New"/>
        </w:rPr>
      </w:pPr>
      <w:r>
        <w:rPr>
          <w:rFonts w:ascii="Courier New" w:hAnsi="Courier New"/>
        </w:rPr>
        <w:t>Que la idea central tiene su génesis y su basamento legal previsto en la Ley Nacional Nº 24417 y Ley Provincial Nº 9283;</w:t>
      </w:r>
    </w:p>
    <w:p>
      <w:pPr>
        <w:ind w:left="748"/>
        <w:jc w:val="both"/>
        <w:rPr>
          <w:rFonts w:ascii="Courier New" w:hAnsi="Courier New"/>
        </w:rPr>
      </w:pPr>
    </w:p>
    <w:p>
      <w:pPr>
        <w:ind w:left="748"/>
        <w:jc w:val="both"/>
        <w:rPr>
          <w:rFonts w:ascii="Courier New" w:hAnsi="Courier New"/>
        </w:rPr>
      </w:pPr>
      <w:r>
        <w:rPr>
          <w:rFonts w:ascii="Courier New" w:hAnsi="Courier New"/>
        </w:rPr>
        <w:t>Que se entiende por violencia familiar todas las formas de abuso que tienen lugar en las relaciones entre miembros de una familia;</w:t>
      </w:r>
    </w:p>
    <w:p>
      <w:pPr>
        <w:ind w:left="748"/>
        <w:jc w:val="both"/>
        <w:rPr>
          <w:rFonts w:ascii="Courier New" w:hAnsi="Courier New"/>
        </w:rPr>
      </w:pPr>
    </w:p>
    <w:p>
      <w:pPr>
        <w:ind w:left="748"/>
        <w:jc w:val="both"/>
        <w:rPr>
          <w:rFonts w:ascii="Courier New" w:hAnsi="Courier New"/>
        </w:rPr>
      </w:pPr>
      <w:r>
        <w:rPr>
          <w:rFonts w:ascii="Courier New" w:hAnsi="Courier New"/>
        </w:rPr>
        <w:t>Que existe abuso de poder cuando una de las partes ocasiona daño físico y/o psicológico a la otra, por acción u omisión;</w:t>
      </w:r>
    </w:p>
    <w:p>
      <w:pPr>
        <w:ind w:left="748"/>
        <w:jc w:val="both"/>
        <w:rPr>
          <w:rFonts w:ascii="Courier New" w:hAnsi="Courier New"/>
        </w:rPr>
      </w:pPr>
    </w:p>
    <w:p>
      <w:pPr>
        <w:ind w:left="748"/>
        <w:jc w:val="both"/>
        <w:rPr>
          <w:rFonts w:ascii="Courier New" w:hAnsi="Courier New"/>
        </w:rPr>
      </w:pPr>
      <w:r>
        <w:rPr>
          <w:rFonts w:ascii="Courier New" w:hAnsi="Courier New"/>
        </w:rPr>
        <w:t>Que la violencia familiar puede incluir violencia física, sexual, psicológica, económica y comportamientos cuya finalidad sea controlar al otro;</w:t>
      </w:r>
    </w:p>
    <w:p>
      <w:pPr>
        <w:ind w:left="748"/>
        <w:jc w:val="both"/>
        <w:rPr>
          <w:rFonts w:ascii="Courier New" w:hAnsi="Courier New"/>
        </w:rPr>
      </w:pPr>
    </w:p>
    <w:p>
      <w:pPr>
        <w:ind w:left="748"/>
        <w:jc w:val="right"/>
        <w:rPr>
          <w:rFonts w:ascii="Courier New" w:hAnsi="Courier New"/>
        </w:rPr>
      </w:pPr>
      <w:r>
        <w:rPr>
          <w:rFonts w:ascii="Courier New" w:hAnsi="Courier New"/>
        </w:rPr>
        <w:t>...///</w:t>
      </w: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ind w:left="748"/>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ind w:left="748"/>
        <w:jc w:val="both"/>
        <w:rPr>
          <w:rFonts w:ascii="Courier New" w:hAnsi="Courier New"/>
        </w:rPr>
      </w:pPr>
    </w:p>
    <w:p>
      <w:pPr>
        <w:ind w:left="748"/>
        <w:jc w:val="both"/>
        <w:rPr>
          <w:rFonts w:ascii="Courier New" w:hAnsi="Courier New"/>
        </w:rPr>
      </w:pPr>
      <w:r>
        <w:rPr>
          <w:rFonts w:ascii="Courier New" w:hAnsi="Courier New"/>
        </w:rPr>
        <w:t>Que sobre ésta problemática mucho podría decirse, pero ante una enfermedad no basta con vacunar o medicar, sino que debe buscarse y desactivarse el factor que la pueda producir;</w:t>
      </w:r>
    </w:p>
    <w:p>
      <w:pPr>
        <w:ind w:left="748"/>
        <w:jc w:val="both"/>
        <w:rPr>
          <w:rFonts w:ascii="Courier New" w:hAnsi="Courier New"/>
        </w:rPr>
      </w:pPr>
    </w:p>
    <w:p>
      <w:pPr>
        <w:ind w:left="748"/>
        <w:jc w:val="both"/>
        <w:rPr>
          <w:rFonts w:ascii="Courier New" w:hAnsi="Courier New"/>
        </w:rPr>
      </w:pPr>
      <w:r>
        <w:rPr>
          <w:rFonts w:ascii="Courier New" w:hAnsi="Courier New"/>
        </w:rPr>
        <w:t>Que atento al contenido y alcances de la presente propuesta, conforman el ideario que posee como premisa fundamental que ante éste tipo de hechos la práctica es el silencio y su consecuencia la minimización de los hechos;</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es necesario desarrollar auténticos programas contra la violencia familiar, articulando con policía judicial, Centros Vecinales, O.N.G  locales, maneras rápidas y seguras de dar cause a posibles denuncias, conociendo los cuidados que tanto la víctima como sobre el grupo familiar de pertenencia, deberían cumplirse;</w:t>
      </w:r>
    </w:p>
    <w:p>
      <w:pPr>
        <w:ind w:left="748"/>
        <w:jc w:val="both"/>
        <w:rPr>
          <w:rFonts w:ascii="Courier New" w:hAnsi="Courier New"/>
        </w:rPr>
      </w:pPr>
    </w:p>
    <w:p>
      <w:pPr>
        <w:ind w:left="720"/>
        <w:jc w:val="both"/>
        <w:rPr>
          <w:rFonts w:ascii="Courier New" w:hAnsi="Courier New"/>
        </w:rPr>
      </w:pPr>
      <w:r>
        <w:rPr>
          <w:rFonts w:ascii="Courier New" w:hAnsi="Courier New"/>
        </w:rPr>
        <w:t>Que analizado el Proyecto de Ordenanza por el Concejo en Comisión, el mismo emite despacho favorable, con modificaciones, aprobado por unanimidad en Sesión Ordinaria del día 22 de Abril de 2009.-</w:t>
      </w:r>
    </w:p>
    <w:p>
      <w:pPr>
        <w:pStyle w:val="P2"/>
        <w:rPr>
          <w:rFonts w:ascii="Courier New" w:hAnsi="Courier New"/>
        </w:rPr>
      </w:pPr>
    </w:p>
    <w:p/>
    <w:p>
      <w:pPr>
        <w:pStyle w:val="P2"/>
        <w:rPr>
          <w:rFonts w:ascii="Courier New" w:hAnsi="Courier New"/>
        </w:rPr>
      </w:pPr>
    </w:p>
    <w:p>
      <w:pPr>
        <w:pStyle w:val="P2"/>
        <w:rPr>
          <w:rFonts w:ascii="Courier New" w:hAnsi="Courier New"/>
        </w:rPr>
      </w:pPr>
      <w:r>
        <w:rPr>
          <w:rFonts w:ascii="Courier New" w:hAnsi="Courier New"/>
        </w:rPr>
        <w:t>EL HONORABLE CONCEJO DELIBERANTE DE LA CIUDAD DE</w:t>
      </w:r>
    </w:p>
    <w:p>
      <w:pPr>
        <w:pStyle w:val="P3"/>
        <w:jc w:val="center"/>
        <w:rPr>
          <w:b w:val="1"/>
          <w:bCs w:val="1"/>
        </w:rPr>
      </w:pPr>
    </w:p>
    <w:p>
      <w:pPr>
        <w:ind w:hanging="561" w:left="1269"/>
        <w:jc w:val="center"/>
        <w:rPr>
          <w:rFonts w:ascii="Courier New" w:hAnsi="Courier New"/>
          <w:b w:val="1"/>
          <w:bCs w:val="1"/>
        </w:rPr>
      </w:pPr>
      <w:r>
        <w:rPr>
          <w:rFonts w:ascii="Courier New" w:hAnsi="Courier New"/>
          <w:b w:val="1"/>
          <w:bCs w:val="1"/>
        </w:rPr>
        <w:t>ALTA GRACIA SANCIONA CON FUERZA DE ORDENANZA</w:t>
      </w:r>
    </w:p>
    <w:p>
      <w:pPr>
        <w:ind w:hanging="709" w:left="709"/>
        <w:jc w:val="center"/>
        <w:rPr>
          <w:rFonts w:ascii="Courier New" w:hAnsi="Courier New"/>
          <w:b w:val="1"/>
          <w:bCs w:val="1"/>
          <w:u w:val="single"/>
        </w:rPr>
      </w:pPr>
    </w:p>
    <w:p>
      <w:pPr>
        <w:ind w:left="748"/>
        <w:jc w:val="both"/>
        <w:rPr>
          <w:rFonts w:ascii="Courier New" w:hAnsi="Courier New"/>
        </w:rPr>
      </w:pPr>
    </w:p>
    <w:p>
      <w:pPr>
        <w:jc w:val="both"/>
        <w:rPr>
          <w:rFonts w:ascii="Courier New" w:hAnsi="Courier New"/>
        </w:rPr>
      </w:pPr>
    </w:p>
    <w:p>
      <w:pPr>
        <w:pStyle w:val="P5"/>
      </w:pPr>
      <w:r>
        <w:rPr>
          <w:b w:val="1"/>
          <w:bCs w:val="1"/>
          <w:u w:val="single"/>
        </w:rPr>
        <w:t>Art.1</w:t>
      </w:r>
      <w:r>
        <w:rPr>
          <w:b w:val="1"/>
          <w:bCs w:val="1"/>
        </w:rPr>
        <w:t>:</w:t>
      </w:r>
      <w:r>
        <w:t xml:space="preserve"> </w:t>
      </w:r>
      <w:r>
        <w:rPr>
          <w:b w:val="1"/>
          <w:bCs w:val="1"/>
        </w:rPr>
        <w:t>CRÉASE</w:t>
      </w:r>
      <w:r>
        <w:t xml:space="preserve"> el Área de Asistencia a las víctimas de VIOLENCIA FAMILIAR dentro de la Dirección de Desarrollo Humano y Trabajo de la Municipalidad de la ciudad de Alta Gracia. </w:t>
      </w:r>
    </w:p>
    <w:p>
      <w:pPr>
        <w:pStyle w:val="P4"/>
      </w:pPr>
      <w:r>
        <w:t>La asistencia integral incluye: atención psicológica, asesoramiento legal y asistencia social.-</w:t>
      </w:r>
    </w:p>
    <w:p>
      <w:pPr>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...///3.-</w:t>
      </w:r>
    </w:p>
    <w:p>
      <w:pPr>
        <w:jc w:val="both"/>
        <w:rPr>
          <w:rFonts w:ascii="Courier New" w:hAnsi="Courier New"/>
        </w:rPr>
      </w:pPr>
    </w:p>
    <w:p>
      <w:pPr>
        <w:ind w:hanging="748" w:left="748"/>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rPr>
        <w:t xml:space="preserve"> </w:t>
      </w:r>
      <w:r>
        <w:rPr>
          <w:rFonts w:ascii="Courier New" w:hAnsi="Courier New"/>
          <w:b w:val="1"/>
          <w:bCs w:val="1"/>
        </w:rPr>
        <w:t>LA</w:t>
      </w:r>
      <w:r>
        <w:rPr>
          <w:rFonts w:ascii="Courier New" w:hAnsi="Courier New"/>
        </w:rPr>
        <w:t xml:space="preserve"> misma deberá articular con Salud Pública Municipal para que se disponga en la Casa de Protección Familiar Eva Perón, un área profesional, restringida y específica para atención de víctimas; éste lugar deberá contar con un equipo profesional interdisciplinario al momento que se lo necesite, garantizar la terapia específica a víctimas y agresores; asesorar al denunciante sobre los alcances de la ley y las consecuencias de la actuación judicial; una línea telefónica para mantener contacto entre la Unidad Judicial, las víctimas y la Dirección de Desarrollo Humano y Trabajo, formando una red de contención y todas las medidas cautelares que el Juez determine.-</w:t>
      </w:r>
    </w:p>
    <w:p>
      <w:pPr>
        <w:jc w:val="both"/>
        <w:rPr>
          <w:rFonts w:ascii="Courier New" w:hAnsi="Courier New"/>
        </w:rPr>
      </w:pPr>
    </w:p>
    <w:p>
      <w:pPr>
        <w:ind w:hanging="748" w:left="748"/>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EL</w:t>
      </w:r>
      <w:r>
        <w:rPr>
          <w:rFonts w:ascii="Courier New" w:hAnsi="Courier New"/>
        </w:rPr>
        <w:t xml:space="preserve"> Departamento Ejecutivo mediante reglamento emitido y fiscalizado por la Dirección de Desarrollo Humano y Trabajo regulará y fiscalizará la permanencia en el lugar de las personas de Violencia Familiar, y en concordancia con la Unidad Judicial considerará si hay hijos menores y que tipo de contención es la más adecuada.-</w:t>
      </w:r>
    </w:p>
    <w:p>
      <w:pPr>
        <w:jc w:val="both"/>
        <w:rPr>
          <w:rFonts w:ascii="Courier New" w:hAnsi="Courier New"/>
        </w:rPr>
      </w:pPr>
    </w:p>
    <w:p>
      <w:pPr>
        <w:ind w:hanging="748" w:left="748"/>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rPr>
        <w:t xml:space="preserve"> </w:t>
      </w:r>
      <w:r>
        <w:rPr>
          <w:rFonts w:ascii="Courier New" w:hAnsi="Courier New"/>
          <w:b w:val="1"/>
          <w:bCs w:val="1"/>
        </w:rPr>
        <w:t>DISPÓNGASE</w:t>
      </w:r>
      <w:r>
        <w:rPr>
          <w:rFonts w:ascii="Courier New" w:hAnsi="Courier New"/>
        </w:rPr>
        <w:t xml:space="preserve"> de un refugio provisorio para dar albergue y contención durante los primeros días a las víctimas en que la situación así lo requieran, hasta tanto dictamine el Juez interviniente las medidas aconsejables para cada caso. Dicho espacio deberá contar con personal, custodia permanente siempre que Unidad Judicial lo determine.- </w:t>
      </w:r>
    </w:p>
    <w:p>
      <w:pPr>
        <w:jc w:val="both"/>
        <w:rPr>
          <w:rFonts w:ascii="Courier New" w:hAnsi="Courier New"/>
        </w:rPr>
      </w:pPr>
    </w:p>
    <w:p>
      <w:pPr>
        <w:ind w:hanging="748" w:left="748"/>
        <w:jc w:val="both"/>
        <w:rPr>
          <w:rFonts w:ascii="Courier New" w:hAnsi="Courier New"/>
        </w:rPr>
      </w:pPr>
      <w:r>
        <w:rPr>
          <w:rFonts w:ascii="Courier New" w:hAnsi="Courier New"/>
          <w:b w:val="1"/>
          <w:bCs w:val="1"/>
          <w:u w:val="single"/>
        </w:rPr>
        <w:t>Art.5</w:t>
      </w:r>
      <w:r>
        <w:rPr>
          <w:rFonts w:ascii="Courier New" w:hAnsi="Courier New"/>
          <w:b w:val="1"/>
          <w:bCs w:val="1"/>
        </w:rPr>
        <w:t>:</w:t>
      </w:r>
      <w:r>
        <w:rPr>
          <w:rFonts w:ascii="Courier New" w:hAnsi="Courier New"/>
        </w:rPr>
        <w:t xml:space="preserve"> </w:t>
      </w:r>
      <w:r>
        <w:rPr>
          <w:rFonts w:ascii="Courier New" w:hAnsi="Courier New"/>
          <w:b w:val="1"/>
          <w:bCs w:val="1"/>
        </w:rPr>
        <w:t>DEBERÁ</w:t>
      </w:r>
      <w:r>
        <w:rPr>
          <w:rFonts w:ascii="Courier New" w:hAnsi="Courier New"/>
        </w:rPr>
        <w:t xml:space="preserve"> el Departamento Ejecutivo a través de la Dirección de Desarrollo Humano y Trabajo implementar políticas de prevención, desarrollando cursos y jornadas, alcanzar acuerdos con los Gobiernos Provinciales y Nacionales a los fines de coordinar acciones en la materia que nos ocupa el Art. 53° de la CARTA ORGÁNICA MUNICIPAL.-</w:t>
      </w:r>
    </w:p>
    <w:p>
      <w:pPr>
        <w:ind w:hanging="748" w:left="748"/>
        <w:jc w:val="both"/>
        <w:rPr>
          <w:rFonts w:ascii="Courier New" w:hAnsi="Courier New"/>
          <w:b w:val="1"/>
          <w:bCs w:val="1"/>
          <w:u w:val="single"/>
        </w:rPr>
      </w:pPr>
    </w:p>
    <w:p>
      <w:pPr>
        <w:ind w:hanging="748" w:left="748"/>
        <w:jc w:val="right"/>
        <w:rPr>
          <w:rFonts w:ascii="Courier New" w:hAnsi="Courier New"/>
        </w:rPr>
      </w:pPr>
      <w:r>
        <w:rPr>
          <w:rFonts w:ascii="Courier New" w:hAnsi="Courier New"/>
        </w:rPr>
        <w:t>...///</w:t>
      </w:r>
    </w:p>
    <w:p>
      <w:pPr>
        <w:ind w:hanging="748" w:left="748"/>
        <w:jc w:val="both"/>
        <w:rPr>
          <w:rFonts w:ascii="Courier New" w:hAnsi="Courier New"/>
        </w:rPr>
      </w:pPr>
    </w:p>
    <w:p>
      <w:pPr>
        <w:ind w:hanging="748" w:left="748"/>
        <w:jc w:val="both"/>
        <w:rPr>
          <w:rFonts w:ascii="Courier New" w:hAnsi="Courier New"/>
        </w:rPr>
      </w:pPr>
    </w:p>
    <w:p>
      <w:pPr>
        <w:ind w:hanging="748" w:left="748"/>
        <w:jc w:val="both"/>
        <w:rPr>
          <w:rFonts w:ascii="Courier New" w:hAnsi="Courier New"/>
        </w:rPr>
      </w:pPr>
    </w:p>
    <w:p>
      <w:pPr>
        <w:ind w:hanging="748" w:left="748"/>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...///4.-</w:t>
      </w:r>
    </w:p>
    <w:p>
      <w:pPr>
        <w:jc w:val="both"/>
        <w:rPr>
          <w:rFonts w:ascii="Courier New" w:hAnsi="Courier New"/>
        </w:rPr>
      </w:pPr>
    </w:p>
    <w:p>
      <w:pPr>
        <w:ind w:hanging="561" w:left="561"/>
        <w:jc w:val="both"/>
        <w:rPr>
          <w:rFonts w:ascii="Courier New" w:hAnsi="Courier New"/>
        </w:rPr>
      </w:pPr>
      <w:r>
        <w:rPr>
          <w:rFonts w:ascii="Courier New" w:hAnsi="Courier New"/>
          <w:b w:val="1"/>
          <w:bCs w:val="1"/>
          <w:u w:val="single"/>
        </w:rPr>
        <w:t>Art.6</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la presente Ordenanza en el Boletín Oficial de la Municipalidad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6"/>
        <w:ind w:left="0"/>
      </w:pPr>
    </w:p>
    <w:p>
      <w:pPr>
        <w:pStyle w:val="P6"/>
        <w:ind w:left="0"/>
      </w:pPr>
      <w:r>
        <w:t>DADA EN LA SALA DE SESIONES DEL HONORABLE CONCEJO DELIBERANTE A LOS VEINTIDOS DIAS DEL MES DE ABRIL DEL AÑO DOS MIL NUEVE.-</w:t>
      </w:r>
    </w:p>
    <w:p>
      <w:pPr>
        <w:jc w:val="both"/>
        <w:rPr>
          <w:rFonts w:ascii="Courier New" w:hAnsi="Courier New"/>
        </w:rPr>
      </w:pPr>
    </w:p>
    <w:p>
      <w:pPr>
        <w:jc w:val="both"/>
        <w:rPr>
          <w:rFonts w:ascii="Courier New" w:hAnsi="Courier New"/>
        </w:rPr>
      </w:pPr>
      <w:r>
        <w:rPr>
          <w:rFonts w:ascii="Courier New" w:hAnsi="Courier New"/>
        </w:rPr>
        <w:t xml:space="preserv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w:basedOn w:val="P0"/>
    <w:next w:val="P3"/>
    <w:pPr>
      <w:jc w:val="both"/>
    </w:pPr>
    <w:rPr>
      <w:rFonts w:ascii="Courier New" w:hAnsi="Courier New"/>
    </w:rPr>
  </w:style>
  <w:style w:type="paragraph" w:styleId="P4">
    <w:name w:val="Body Text Indent"/>
    <w:basedOn w:val="P0"/>
    <w:next w:val="P4"/>
    <w:pPr>
      <w:ind w:left="748"/>
      <w:jc w:val="both"/>
    </w:pPr>
    <w:rPr>
      <w:rFonts w:ascii="Courier New" w:hAnsi="Courier New"/>
    </w:rPr>
  </w:style>
  <w:style w:type="paragraph" w:styleId="P5">
    <w:name w:val="Body Text Indent 2"/>
    <w:basedOn w:val="P0"/>
    <w:next w:val="P5"/>
    <w:pPr>
      <w:ind w:hanging="748" w:left="748"/>
      <w:jc w:val="both"/>
    </w:pPr>
    <w:rPr>
      <w:rFonts w:ascii="Courier New" w:hAnsi="Courier New"/>
    </w:rPr>
  </w:style>
  <w:style w:type="paragraph" w:styleId="P6">
    <w:name w:val="Body Text Indent 3"/>
    <w:basedOn w:val="P0"/>
    <w:next w:val="P6"/>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2026-07-09T19:25:42Z</dcterms:created>
  <cp:lastModifiedBy>Federico Parisi</cp:lastModifiedBy>
  <cp:lastPrinted>2009-04-23T04:01:00Z</cp:lastPrinted>
  <dcterms:modified xsi:type="dcterms:W3CDTF">2026-07-09T19:25:42Z</dcterms:modified>
  <cp:revision>2</cp:revision>
  <dc:title>PROYECTO DE ORDENANZA VIOLENCIA FAMILIAR</dc:title>
</cp:coreProperties>
</file>