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6"/>
        <w:ind w:hanging="454" w:left="567"/>
        <w:jc w:val="center"/>
        <w:rPr>
          <w:rFonts w:ascii="JaneAusten" w:hAnsi="JaneAusten"/>
          <w:b w:val="1"/>
          <w:bCs w:val="1"/>
          <w:sz w:val="24"/>
          <w:szCs w:val="24"/>
        </w:rPr>
      </w:pPr>
    </w:p>
    <w:p>
      <w:pPr>
        <w:pStyle w:val="P16"/>
        <w:ind w:left="113"/>
        <w:jc w:val="center"/>
        <w:rPr>
          <w:rFonts w:ascii="JaneAusten" w:hAnsi="JaneAusten" w:cs="Arial"/>
          <w:b w:val="1"/>
          <w:bCs w:val="1"/>
          <w:sz w:val="24"/>
          <w:szCs w:val="24"/>
        </w:rPr>
      </w:pPr>
    </w:p>
    <w:p>
      <w:pPr>
        <w:pStyle w:val="P16"/>
        <w:ind w:left="113"/>
        <w:jc w:val="center"/>
        <w:rPr>
          <w:rFonts w:cs="Times New Roman"/>
          <w:b w:val="1"/>
          <w:bCs w:val="1"/>
          <w:sz w:val="24"/>
          <w:szCs w:val="24"/>
        </w:rPr>
      </w:pPr>
      <w:r>
        <w:rPr>
          <w:rFonts w:ascii="JaneAusten" w:hAnsi="JaneAusten" w:cs="Arial"/>
          <w:b w:val="0"/>
          <w:bCs w:val="0"/>
          <w:sz w:val="24"/>
          <w:szCs w:val="24"/>
        </w:rPr>
        <w:t>“2010 Año del Bicentenario de la Revolución de Mayo”</w:t>
      </w:r>
    </w:p>
    <w:p>
      <w:pPr>
        <w:pStyle w:val="P4"/>
      </w:pPr>
    </w:p>
    <w:p/>
    <w:p>
      <w:pPr>
        <w:pStyle w:val="P4"/>
      </w:pPr>
    </w:p>
    <w:p>
      <w:pPr>
        <w:pStyle w:val="P4"/>
      </w:pPr>
      <w:r>
        <w:t>ORDENANZA Nº 8665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 w:cs="Courier New"/>
        </w:rPr>
      </w:pPr>
    </w:p>
    <w:p>
      <w:pPr>
        <w:ind w:hanging="561" w:left="56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Visto: El Expediente Nº 840/02; y</w:t>
      </w:r>
    </w:p>
    <w:p>
      <w:pPr>
        <w:ind w:hanging="561" w:left="561"/>
        <w:jc w:val="both"/>
        <w:rPr>
          <w:rFonts w:ascii="Courier New" w:hAnsi="Courier New" w:cs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jc w:val="center"/>
      </w:pPr>
    </w:p>
    <w:p>
      <w:pPr>
        <w:pStyle w:val="P12"/>
        <w:ind w:left="567"/>
      </w:pPr>
      <w:r>
        <w:t>Que el mismo es iniciado mediante nota presentada por el Sr. Cattó, Ricardo Hernán solicitando en julio de 2002 efectuar canje de trabajo por deuda de Tasa por Servicios a la Propiedad de la Designación Catastral 03-01-106-014-000;</w:t>
      </w:r>
    </w:p>
    <w:p>
      <w:pPr>
        <w:ind w:left="567"/>
        <w:jc w:val="both"/>
        <w:rPr>
          <w:rFonts w:ascii="Courier New" w:hAnsi="Courier New" w:cs="Courier New"/>
        </w:rPr>
      </w:pPr>
    </w:p>
    <w:p>
      <w:pPr>
        <w:ind w:left="567"/>
        <w:jc w:val="both"/>
        <w:rPr>
          <w:rFonts w:ascii="Courier New" w:hAnsi="Courier New"/>
        </w:rPr>
      </w:pPr>
      <w:r>
        <w:rPr>
          <w:rFonts w:ascii="Courier New" w:hAnsi="Courier New"/>
        </w:rPr>
        <w:t>Que mediante Ordenanza Nº 7713 se autorizó al Departamento Ejecutivo realizar plan de pago en concepto de Tasa por Servicios a la Propiedad en cuotas mensuales de PESOS TREINTA ($30).-</w:t>
      </w:r>
    </w:p>
    <w:p>
      <w:pPr>
        <w:ind w:left="567"/>
        <w:jc w:val="both"/>
        <w:rPr>
          <w:rFonts w:ascii="Courier New" w:hAnsi="Courier New"/>
        </w:rPr>
      </w:pPr>
    </w:p>
    <w:p>
      <w:pPr>
        <w:ind w:left="567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Fs.31 obra nueva nota del Sr. Cattó solicitando se renueve el beneficio otorgado por falta de recursos;</w:t>
      </w:r>
    </w:p>
    <w:p>
      <w:pPr>
        <w:ind w:left="567"/>
        <w:jc w:val="both"/>
        <w:rPr>
          <w:rFonts w:ascii="Courier New" w:hAnsi="Courier New"/>
        </w:rPr>
      </w:pPr>
    </w:p>
    <w:p>
      <w:pPr>
        <w:ind w:left="567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realizado nuevo Relevamiento Socioeconómico y Ambiental, se observa que el Sr. Cattó es jubilado, presentando él y su esposa problemas de salud y percibe beneficio de tarifa social otorgada por el Ersep;   </w:t>
      </w:r>
    </w:p>
    <w:p>
      <w:pPr>
        <w:ind w:left="56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</w:p>
    <w:p>
      <w:pPr>
        <w:ind w:left="567"/>
        <w:jc w:val="both"/>
        <w:rPr>
          <w:rFonts w:ascii="Courier New" w:hAnsi="Courier New"/>
        </w:rPr>
      </w:pPr>
      <w:r>
        <w:rPr>
          <w:rFonts w:ascii="Courier New" w:hAnsi="Courier New" w:cs="Courier New"/>
        </w:rPr>
        <w:t>Que analizado el Expediente de referencia por la Comisión de Hacienda, la misma emite despacho favorable, aprobado por unanimidad en Sesión Ordinaria del día 07 de Julio de 2010</w:t>
      </w:r>
      <w:r>
        <w:rPr>
          <w:rFonts w:ascii="Courier New" w:hAnsi="Courier New"/>
        </w:rPr>
        <w:t>.-</w:t>
      </w:r>
    </w:p>
    <w:p>
      <w:pPr>
        <w:tabs>
          <w:tab w:val="left" w:pos="3909" w:leader="none"/>
        </w:tabs>
        <w:ind w:left="567"/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>
      <w:pPr>
        <w:tabs>
          <w:tab w:val="left" w:pos="3909" w:leader="none"/>
        </w:tabs>
        <w:ind w:left="567"/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...///</w:t>
      </w:r>
    </w:p>
    <w:p>
      <w:pPr>
        <w:pStyle w:val="P11"/>
        <w:jc w:val="right"/>
        <w:rPr>
          <w:rFonts w:cs="Times New Roman"/>
        </w:rPr>
      </w:pPr>
    </w:p>
    <w:p>
      <w:pPr>
        <w:pStyle w:val="P11"/>
        <w:jc w:val="right"/>
        <w:rPr>
          <w:rFonts w:cs="Times New Roman"/>
        </w:rPr>
      </w:pPr>
    </w:p>
    <w:p>
      <w:pPr>
        <w:pStyle w:val="P11"/>
        <w:jc w:val="right"/>
        <w:rPr>
          <w:rFonts w:cs="Times New Roman"/>
        </w:rPr>
      </w:pPr>
    </w:p>
    <w:p>
      <w:pPr>
        <w:pStyle w:val="P11"/>
        <w:jc w:val="right"/>
        <w:rPr>
          <w:rFonts w:cs="Times New Roman"/>
        </w:rPr>
      </w:pPr>
    </w:p>
    <w:p>
      <w:pPr>
        <w:ind w:hanging="426" w:left="426"/>
        <w:jc w:val="both"/>
        <w:rPr>
          <w:rFonts w:ascii="Courier New" w:hAnsi="Courier New" w:cs="Courier New"/>
          <w:b w:val="1"/>
          <w:bCs w:val="1"/>
          <w:u w:val="single"/>
        </w:rPr>
      </w:pPr>
    </w:p>
    <w:p>
      <w:pPr>
        <w:pStyle w:val="P12"/>
        <w:ind w:hanging="426" w:left="426"/>
        <w:rPr>
          <w:rFonts w:cs="Times New Roman"/>
          <w:b w:val="1"/>
          <w:bCs w:val="1"/>
          <w:u w:val="single"/>
        </w:rPr>
      </w:pPr>
    </w:p>
    <w:p>
      <w:pPr>
        <w:pStyle w:val="P12"/>
        <w:ind w:hanging="426" w:left="426"/>
        <w:rPr>
          <w:rFonts w:cs="Times New Roman"/>
          <w:b w:val="1"/>
          <w:bCs w:val="1"/>
          <w:u w:val="single"/>
        </w:rPr>
      </w:pPr>
    </w:p>
    <w:p>
      <w:pPr>
        <w:pStyle w:val="P12"/>
        <w:ind w:hanging="426" w:left="426"/>
        <w:rPr>
          <w:rFonts w:cs="Times New Roman"/>
          <w:b w:val="1"/>
          <w:bCs w:val="1"/>
          <w:u w:val="single"/>
        </w:rPr>
      </w:pPr>
    </w:p>
    <w:p>
      <w:pPr>
        <w:pStyle w:val="P12"/>
        <w:ind w:hanging="426" w:left="426"/>
        <w:rPr>
          <w:rFonts w:cs="Times New Roman"/>
          <w:b w:val="1"/>
          <w:bCs w:val="1"/>
          <w:u w:val="single"/>
        </w:rPr>
      </w:pPr>
    </w:p>
    <w:p>
      <w:pPr>
        <w:pStyle w:val="P16"/>
        <w:ind w:left="113"/>
        <w:jc w:val="center"/>
        <w:rPr>
          <w:rFonts w:ascii="JaneAusten" w:hAnsi="JaneAusten" w:cs="Arial"/>
          <w:b w:val="1"/>
          <w:i w:val="1"/>
          <w:bCs w:val="1"/>
          <w:iCs w:val="1"/>
          <w:sz w:val="24"/>
          <w:szCs w:val="24"/>
        </w:rPr>
      </w:pPr>
    </w:p>
    <w:p>
      <w:pPr>
        <w:pStyle w:val="P16"/>
        <w:ind w:left="113"/>
        <w:jc w:val="center"/>
        <w:rPr>
          <w:rFonts w:ascii="JaneAusten" w:hAnsi="JaneAusten" w:cs="Arial"/>
          <w:b w:val="1"/>
          <w:i w:val="1"/>
          <w:bCs w:val="1"/>
          <w:iCs w:val="1"/>
          <w:sz w:val="24"/>
          <w:szCs w:val="24"/>
        </w:rPr>
      </w:pPr>
    </w:p>
    <w:p>
      <w:pPr>
        <w:pStyle w:val="P16"/>
        <w:ind w:left="113"/>
        <w:jc w:val="center"/>
        <w:rPr>
          <w:rFonts w:cs="Times New Roman"/>
          <w:b w:val="1"/>
          <w:i w:val="1"/>
          <w:bCs w:val="1"/>
          <w:iCs w:val="1"/>
          <w:sz w:val="24"/>
          <w:szCs w:val="24"/>
        </w:rPr>
      </w:pPr>
      <w:r>
        <w:rPr>
          <w:rFonts w:ascii="JaneAusten" w:hAnsi="JaneAusten" w:cs="Arial"/>
          <w:b w:val="0"/>
          <w:i w:val="1"/>
          <w:bCs w:val="0"/>
          <w:iCs w:val="1"/>
          <w:sz w:val="24"/>
          <w:szCs w:val="24"/>
        </w:rPr>
        <w:t>“2010 Año del Bicentenario de la Revolución de Mayo”</w:t>
      </w:r>
    </w:p>
    <w:p>
      <w:pPr>
        <w:pStyle w:val="P19"/>
        <w:tabs>
          <w:tab w:val="left" w:pos="1664" w:leader="none"/>
        </w:tabs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...///2.-</w:t>
      </w:r>
    </w:p>
    <w:p>
      <w:pPr>
        <w:pStyle w:val="P11"/>
        <w:ind w:left="567"/>
        <w:rPr>
          <w:b w:val="1"/>
          <w:bCs w:val="1"/>
        </w:rPr>
      </w:pPr>
    </w:p>
    <w:p>
      <w:pPr>
        <w:pStyle w:val="P11"/>
        <w:ind w:left="567"/>
        <w:rPr>
          <w:b w:val="1"/>
          <w:bCs w:val="1"/>
        </w:rPr>
      </w:pPr>
    </w:p>
    <w:p>
      <w:pPr>
        <w:pStyle w:val="P11"/>
        <w:ind w:left="567"/>
        <w:rPr>
          <w:b w:val="1"/>
          <w:bCs w:val="1"/>
        </w:rPr>
      </w:pPr>
      <w:r>
        <w:rPr>
          <w:b w:val="1"/>
          <w:bCs w:val="1"/>
        </w:rPr>
        <w:t>EL HONORABLE CONCEJO DELIBERANTE DE LA CIUDAD DE</w:t>
      </w:r>
    </w:p>
    <w:p>
      <w:pPr>
        <w:jc w:val="center"/>
        <w:rPr>
          <w:rFonts w:ascii="Courier New" w:hAnsi="Courier New"/>
          <w:b w:val="1"/>
          <w:bCs w:val="1"/>
        </w:rPr>
      </w:pPr>
    </w:p>
    <w:p>
      <w:pPr>
        <w:pStyle w:val="P12"/>
        <w:ind w:left="561"/>
        <w:rPr>
          <w:b w:val="1"/>
          <w:bCs w:val="1"/>
        </w:rPr>
      </w:pPr>
      <w:r>
        <w:rPr>
          <w:b w:val="1"/>
          <w:bCs w:val="1"/>
        </w:rPr>
        <w:t xml:space="preserve">    ALTA GRACIA SANCIONA CON FUERZA DE ORDENANZA</w:t>
      </w:r>
    </w:p>
    <w:p>
      <w:pPr>
        <w:pStyle w:val="P19"/>
        <w:tabs>
          <w:tab w:val="left" w:pos="1664" w:leader="none"/>
        </w:tabs>
        <w:jc w:val="both"/>
        <w:rPr>
          <w:rFonts w:ascii="Courier New" w:hAnsi="Courier New" w:cs="Courier New"/>
        </w:rPr>
      </w:pPr>
    </w:p>
    <w:p>
      <w:pPr>
        <w:pStyle w:val="P22"/>
        <w:ind w:hanging="426" w:left="426"/>
        <w:contextualSpacing w:val="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Art.1</w:t>
      </w:r>
      <w:r>
        <w:rPr>
          <w:rFonts w:ascii="Courier New" w:hAnsi="Courier New" w:cs="Courier New"/>
          <w:b w:val="1"/>
          <w:bCs w:val="1"/>
        </w:rPr>
        <w:t>: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 w:val="1"/>
          <w:bCs w:val="1"/>
        </w:rPr>
        <w:t>EXIM</w:t>
      </w:r>
      <w:r>
        <w:rPr>
          <w:rFonts w:ascii="Courier New" w:hAnsi="Courier New" w:cs="Courier New"/>
          <w:b w:val="1"/>
          <w:bCs w:val="1"/>
        </w:rPr>
        <w:t>ASE</w:t>
      </w:r>
      <w:r>
        <w:rPr>
          <w:rFonts w:ascii="Courier New" w:hAnsi="Courier New" w:cs="Courier New"/>
        </w:rPr>
        <w:t xml:space="preserve"> el CIEN POR CIENTO (100%) de la deuda que en Concepto de Tasa por Servicios a la Propiedad, mantiene a la fecha de promulgación de la presente con la Municipalidad de Alta Gracia la Designación Catastral 03-01-106-14-000.-</w:t>
      </w:r>
    </w:p>
    <w:p>
      <w:pPr>
        <w:pStyle w:val="P22"/>
        <w:ind w:hanging="426" w:left="426"/>
        <w:contextualSpacing w:val="1"/>
        <w:jc w:val="both"/>
        <w:rPr>
          <w:rFonts w:ascii="Courier New" w:hAnsi="Courier New" w:cs="Courier New"/>
        </w:rPr>
      </w:pPr>
    </w:p>
    <w:p>
      <w:pPr>
        <w:ind w:hanging="426" w:left="426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Art.2</w:t>
      </w:r>
      <w:r>
        <w:rPr>
          <w:rFonts w:ascii="Courier New" w:hAnsi="Courier New" w:cs="Courier New"/>
          <w:b w:val="1"/>
          <w:bCs w:val="1"/>
        </w:rPr>
        <w:t>: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 w:val="1"/>
          <w:bCs w:val="1"/>
        </w:rPr>
        <w:t>FIJA</w:t>
      </w:r>
      <w:r>
        <w:rPr>
          <w:rFonts w:ascii="Courier New" w:hAnsi="Courier New" w:cs="Courier New"/>
          <w:b w:val="1"/>
          <w:bCs w:val="1"/>
        </w:rPr>
        <w:t>SE</w:t>
      </w:r>
      <w:r>
        <w:rPr>
          <w:rFonts w:ascii="Courier New" w:hAnsi="Courier New" w:cs="Courier New"/>
        </w:rPr>
        <w:t xml:space="preserve"> una cuota mensual en concepto de Tasa por Servicios a la propiedad de PESOS DIEZ ($10) desde la fecha de promulgación de la presente y por el plazo de un año, momento en el que se deberá realizar un nuevo Relevamiento Socioeconómico y Ambiental y de subsistir situación actual RENOVAR el beneficio por el término de un año más.-</w:t>
      </w:r>
    </w:p>
    <w:p>
      <w:pPr>
        <w:ind w:hanging="426" w:left="426"/>
        <w:jc w:val="both"/>
        <w:rPr>
          <w:rFonts w:ascii="Courier New" w:hAnsi="Courier New" w:cs="Courier New"/>
        </w:rPr>
      </w:pPr>
    </w:p>
    <w:p>
      <w:pPr>
        <w:ind w:hanging="426" w:left="426"/>
        <w:jc w:val="both"/>
        <w:rPr>
          <w:rFonts w:ascii="Courier New" w:hAnsi="Courier New" w:cs="Courier New"/>
          <w:b w:val="1"/>
          <w:bCs w:val="1"/>
        </w:rPr>
      </w:pPr>
      <w:r>
        <w:rPr>
          <w:rFonts w:ascii="Courier New" w:hAnsi="Courier New" w:cs="Courier New"/>
          <w:b w:val="1"/>
          <w:bCs w:val="1"/>
          <w:u w:val="single"/>
        </w:rPr>
        <w:t>Art.3</w:t>
      </w:r>
      <w:r>
        <w:rPr>
          <w:rFonts w:ascii="Courier New" w:hAnsi="Courier New" w:cs="Courier New"/>
          <w:b w:val="1"/>
          <w:bCs w:val="1"/>
        </w:rPr>
        <w:t>: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SOLICITAR</w:t>
      </w:r>
      <w:r>
        <w:rPr>
          <w:rFonts w:ascii="Courier New" w:hAnsi="Courier New" w:cs="Courier New"/>
        </w:rPr>
        <w:t xml:space="preserve"> al Sr. Intendente que interceda ante el o los procuradores actuantes a los fines de dejar sin efecto el o los juicios iniciados, así como también los honorarios generados.-</w:t>
      </w:r>
    </w:p>
    <w:p>
      <w:pPr>
        <w:jc w:val="both"/>
        <w:rPr>
          <w:rFonts w:ascii="Courier New" w:hAnsi="Courier New" w:cs="Courier New"/>
        </w:rPr>
      </w:pPr>
    </w:p>
    <w:p>
      <w:pPr>
        <w:ind w:hanging="360" w:left="36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Art.</w:t>
      </w:r>
      <w:r>
        <w:rPr>
          <w:rFonts w:ascii="Courier New" w:hAnsi="Courier New" w:cs="Courier New"/>
          <w:b w:val="1"/>
          <w:bCs w:val="1"/>
          <w:u w:val="single"/>
        </w:rPr>
        <w:t>4</w:t>
      </w:r>
      <w:r>
        <w:rPr>
          <w:rFonts w:ascii="Courier New" w:hAnsi="Courier New" w:cs="Courier New"/>
          <w:b w:val="1"/>
          <w:bCs w:val="1"/>
        </w:rPr>
        <w:t>: PROTOCOLÍCESE,</w:t>
      </w:r>
      <w:r>
        <w:rPr>
          <w:rFonts w:ascii="Courier New" w:hAnsi="Courier New" w:cs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sz w:val="24"/>
          <w:szCs w:val="24"/>
        </w:rPr>
      </w:pPr>
    </w:p>
    <w:p>
      <w:pPr>
        <w:pStyle w:val="P17"/>
      </w:pPr>
    </w:p>
    <w:p>
      <w:pPr>
        <w:pStyle w:val="P17"/>
      </w:pPr>
      <w:r>
        <w:t xml:space="preserve">DADA EN LA SALA DE SESIONES DEL HONORABLE CONCEJO DELIBERANTE A LOS SIETE DÍAS DEL MES DE JULIO DEL AÑO DOS MIL DIEZ.- </w:t>
      </w:r>
    </w:p>
    <w:p>
      <w:pPr>
        <w:ind w:hanging="360" w:left="360"/>
        <w:jc w:val="both"/>
        <w:rPr>
          <w:rFonts w:ascii="Courier New" w:hAnsi="Courier New" w:cs="Courier New"/>
          <w:b w:val="1"/>
          <w:bCs w:val="1"/>
          <w:u w:val="single"/>
        </w:rPr>
      </w:pPr>
    </w:p>
    <w:p>
      <w:pPr>
        <w:ind w:hanging="360" w:left="360"/>
        <w:jc w:val="both"/>
        <w:rPr>
          <w:rFonts w:ascii="Courier New" w:hAnsi="Courier New" w:cs="Courier New"/>
          <w:b w:val="1"/>
          <w:bCs w:val="1"/>
          <w:u w:val="single"/>
        </w:rPr>
      </w:pPr>
      <w:r>
        <w:rPr>
          <w:rFonts w:ascii="Courier New" w:hAnsi="Courier New" w:cs="Courier New"/>
          <w:b w:val="1"/>
          <w:bCs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num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165D0FC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 w:cs="Courier New" w:eastAsia="Times New Roman"/>
      </w:rPr>
    </w:lvl>
    <w:lvl w:ilvl="1" w:tplc="645474F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 w:cs="Courier New"/>
      </w:rPr>
    </w:lvl>
    <w:lvl w:ilvl="2" w:tplc="10FE278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1926FF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879F49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 w:cs="Courier New"/>
      </w:rPr>
    </w:lvl>
    <w:lvl w:ilvl="5" w:tplc="331EDA0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F176ED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A1A816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 w:cs="Courier New"/>
      </w:rPr>
    </w:lvl>
    <w:lvl w:ilvl="8" w:tplc="436CF13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num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num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num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num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num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num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num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num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num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num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num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num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num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num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num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num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num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num" w:pos="6555" w:leader="none"/>
        </w:tabs>
      </w:pPr>
      <w:rPr/>
    </w:lvl>
  </w:abstractNum>
  <w:abstractNum w:abstractNumId="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num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num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num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num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num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num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num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num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num" w:pos="7396" w:leader="none"/>
        </w:tabs>
      </w:pPr>
      <w:rPr/>
    </w:lvl>
  </w:abstractNum>
  <w:abstractNum w:abstractNumId="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num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num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num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num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num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num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num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num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num" w:pos="6681" w:leader="none"/>
        </w:tabs>
      </w:pPr>
      <w:rPr/>
    </w:lvl>
  </w:abstractNum>
  <w:abstractNum w:abstractNumId="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0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1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0"/>
  </w:num>
  <w:num w:numId="5">
    <w:abstractNumId w:val="13"/>
  </w:num>
  <w:num w:numId="6">
    <w:abstractNumId w:val="2"/>
  </w:num>
  <w:num w:numId="7">
    <w:abstractNumId w:val="9"/>
  </w:num>
  <w:num w:numId="8">
    <w:abstractNumId w:val="0"/>
  </w:num>
  <w:num w:numId="9">
    <w:abstractNumId w:val="1"/>
  </w:num>
  <w:num w:numId="10">
    <w:abstractNumId w:val="3"/>
  </w:num>
  <w:num w:numId="11">
    <w:abstractNumId w:val="6"/>
  </w:num>
  <w:num w:numId="12">
    <w:abstractNumId w:val="7"/>
  </w:num>
  <w:num w:numId="13">
    <w:abstractNumId w:val="14"/>
  </w:num>
  <w:num w:numId="14">
    <w:abstractNumId w:val="12"/>
  </w:num>
  <w:num w:numId="15">
    <w:abstractNumId w:val="1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efaultTabStop w:val="709"/>
  <w:autoHyphenation w:val="0"/>
  <w:hyphenationZone w:val="425"/>
  <w:evenAndOddHeaders w:val="0"/>
  <w:characterSpacingControl w:val="compressPunctuation"/>
  <w:compat>
    <w:alignTablesRowByRow/>
    <w:splitPgBreakAndParaMark/>
    <w:growAutofit/>
    <w:underlineTabInNumList/>
    <w:doNotBreakConstrainedForcedTable/>
    <w:doNotBreakWrappedTables/>
    <w:doNotVertAlignCellWithSp/>
    <w:footnoteLayoutLikeWW8/>
    <w:shap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qFormat/>
    <w:pPr/>
    <w:rPr>
      <w:sz w:val="24"/>
      <w:szCs w:val="24"/>
      <w:lang w:val="es-AR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3">
    <w:name w:val="Heading 2"/>
    <w:basedOn w:val="P0"/>
    <w:next w:val="P0"/>
    <w:qFormat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bCs w:val="1"/>
      <w:u w:val="single"/>
    </w:rPr>
  </w:style>
  <w:style w:type="paragraph" w:styleId="P5">
    <w:name w:val="Heading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  <w:szCs w:val="144"/>
    </w:rPr>
  </w:style>
  <w:style w:type="paragraph" w:styleId="P6">
    <w:name w:val="Heading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Heading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bCs w:val="1"/>
      <w:sz w:val="144"/>
      <w:szCs w:val="144"/>
    </w:rPr>
  </w:style>
  <w:style w:type="paragraph" w:styleId="P8">
    <w:name w:val="Heading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  <w:bCs w:val="1"/>
    </w:rPr>
  </w:style>
  <w:style w:type="paragraph" w:styleId="P9">
    <w:name w:val="Heading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szCs w:val="22"/>
      <w:u w:val="single"/>
    </w:rPr>
  </w:style>
  <w:style w:type="paragraph" w:styleId="P10">
    <w:name w:val="Heading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bCs w:val="1"/>
      <w:sz w:val="190"/>
      <w:szCs w:val="190"/>
    </w:rPr>
  </w:style>
  <w:style w:type="paragraph" w:styleId="P11">
    <w:name w:val="Body Text"/>
    <w:basedOn w:val="P0"/>
    <w:next w:val="P11"/>
    <w:link w:val="C4"/>
    <w:pPr>
      <w:jc w:val="both"/>
    </w:pPr>
    <w:rPr>
      <w:rFonts w:ascii="Courier New" w:hAnsi="Courier New"/>
    </w:rPr>
  </w:style>
  <w:style w:type="paragraph" w:styleId="P12">
    <w:name w:val="Body Text Indent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Body Text Indent 2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Body Text Indent 3"/>
    <w:basedOn w:val="P0"/>
    <w:next w:val="P14"/>
    <w:pPr>
      <w:ind w:left="748"/>
      <w:jc w:val="both"/>
    </w:pPr>
    <w:rPr>
      <w:rFonts w:ascii="Courier New" w:hAnsi="Courier New"/>
      <w:b w:val="1"/>
      <w:bCs w:val="1"/>
    </w:rPr>
  </w:style>
  <w:style w:type="paragraph" w:styleId="P15">
    <w:name w:val="Header"/>
    <w:basedOn w:val="P0"/>
    <w:next w:val="P15"/>
    <w:pPr>
      <w:tabs>
        <w:tab w:val="center" w:pos="4252" w:leader="none"/>
        <w:tab w:val="right" w:pos="8504" w:leader="none"/>
      </w:tabs>
    </w:pPr>
    <w:rPr>
      <w:lang w:val="es-AR"/>
    </w:rPr>
  </w:style>
  <w:style w:type="paragraph" w:styleId="P16">
    <w:name w:val="Body Text 2"/>
    <w:basedOn w:val="P0"/>
    <w:next w:val="P16"/>
    <w:link w:val="C5"/>
    <w:pPr/>
    <w:rPr>
      <w:rFonts w:ascii="Arial" w:hAnsi="Arial"/>
      <w:b w:val="1"/>
      <w:bCs w:val="1"/>
      <w:sz w:val="28"/>
      <w:szCs w:val="28"/>
    </w:rPr>
  </w:style>
  <w:style w:type="paragraph" w:styleId="P17">
    <w:name w:val="Body Text 3"/>
    <w:basedOn w:val="P0"/>
    <w:next w:val="P17"/>
    <w:pPr>
      <w:jc w:val="both"/>
    </w:pPr>
    <w:rPr>
      <w:rFonts w:ascii="Courier New" w:hAnsi="Courier New"/>
      <w:b w:val="1"/>
      <w:bCs w:val="1"/>
    </w:rPr>
  </w:style>
  <w:style w:type="paragraph" w:styleId="P18">
    <w:name w:val="Title"/>
    <w:basedOn w:val="P0"/>
    <w:next w:val="P18"/>
    <w:qFormat/>
    <w:pPr>
      <w:jc w:val="center"/>
    </w:pPr>
    <w:rPr>
      <w:rFonts w:ascii="Courier New" w:hAnsi="Courier New"/>
      <w:b w:val="1"/>
      <w:bCs w:val="1"/>
      <w:u w:val="single"/>
      <w:lang w:val="es-AR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Plain Text"/>
    <w:basedOn w:val="P0"/>
    <w:next w:val="P20"/>
    <w:pPr/>
    <w:rPr>
      <w:rFonts w:ascii="Courier New" w:hAnsi="Courier New"/>
      <w:sz w:val="20"/>
      <w:szCs w:val="20"/>
    </w:rPr>
  </w:style>
  <w:style w:type="paragraph" w:styleId="P21">
    <w:name w:val="Envelope Return"/>
    <w:basedOn w:val="P0"/>
    <w:next w:val="P21"/>
    <w:pPr>
      <w:jc w:val="both"/>
    </w:pPr>
    <w:rPr>
      <w:rFonts w:ascii="Benguiat Bk BT" w:hAnsi="Benguiat Bk BT"/>
      <w:b w:val="1"/>
      <w:i w:val="1"/>
      <w:bCs w:val="1"/>
      <w:iCs w:val="1"/>
      <w:u w:val="single"/>
    </w:rPr>
  </w:style>
  <w:style w:type="paragraph" w:styleId="P22">
    <w:name w:val="List"/>
    <w:basedOn w:val="P0"/>
    <w:next w:val="P22"/>
    <w:pPr>
      <w:ind w:hanging="283" w:left="283"/>
    </w:pPr>
    <w:rPr>
      <w:lang w:val="es-ES"/>
    </w:rPr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bCs w:val="1"/>
      <w:sz w:val="36"/>
      <w:szCs w:val="36"/>
      <w:snapToGrid w:val="0"/>
      <w:lang w:val="es-MX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>
      <w:snapToGrid w:val="0"/>
      <w:lang w:val="es-MX"/>
    </w:rPr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  <w:szCs w:val="22"/>
      <w:lang w:val="es-ES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bCs w:val="1"/>
      <w:sz w:val="28"/>
      <w:szCs w:val="28"/>
      <w:snapToGrid w:val="0"/>
      <w:lang w:val="es-MX"/>
    </w:rPr>
  </w:style>
  <w:style w:type="paragraph" w:styleId="P27">
    <w:name w:val="Balloon Text"/>
    <w:basedOn w:val="P0"/>
    <w:next w:val="P27"/>
    <w:link w:val="C6"/>
    <w:pPr/>
    <w:rPr>
      <w:rFonts w:ascii="Tahoma" w:hAnsi="Tahoma" w:cs="Tahoma"/>
      <w:sz w:val="16"/>
      <w:szCs w:val="16"/>
    </w:rPr>
  </w:style>
  <w:style w:type="paragraph" w:styleId="P28">
    <w:name w:val="List Paragraph"/>
    <w:basedOn w:val="P0"/>
    <w:next w:val="P28"/>
    <w:qFormat/>
    <w:pPr>
      <w:ind w:left="708"/>
    </w:pPr>
    <w:rPr>
      <w:lang w:val="es-ES"/>
    </w:rPr>
  </w:style>
  <w:style w:type="paragraph" w:styleId="P29">
    <w:name w:val="Body Text First Indent"/>
    <w:basedOn w:val="P11"/>
    <w:next w:val="P29"/>
    <w:link w:val="C7"/>
    <w:pPr>
      <w:spacing w:after="120"/>
      <w:ind w:firstLine="210"/>
      <w:jc w:val="left"/>
    </w:pPr>
    <w:rPr>
      <w:rFonts w:ascii="Times New Roman" w:hAnsi="Times New Roman"/>
      <w:lang w:val="es-ES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000FF"/>
      <w:u w:val="single"/>
    </w:rPr>
  </w:style>
  <w:style w:type="character" w:styleId="C3">
    <w:name w:val="Strong"/>
    <w:basedOn w:val="C0"/>
    <w:qFormat/>
    <w:rPr>
      <w:b w:val="1"/>
      <w:bCs w:val="1"/>
    </w:rPr>
  </w:style>
  <w:style w:type="character" w:styleId="C4">
    <w:name w:val="Texto independiente Car"/>
    <w:basedOn w:val="C0"/>
    <w:link w:val="P11"/>
    <w:rPr>
      <w:rFonts w:ascii="Courier New" w:hAnsi="Courier New"/>
      <w:sz w:val="24"/>
      <w:szCs w:val="24"/>
      <w:lang w:val="es-AR"/>
    </w:rPr>
  </w:style>
  <w:style w:type="character" w:styleId="C5">
    <w:name w:val="Texto independiente 2 Car"/>
    <w:basedOn w:val="C0"/>
    <w:link w:val="P16"/>
    <w:rPr>
      <w:rFonts w:ascii="Arial" w:hAnsi="Arial"/>
      <w:b w:val="1"/>
      <w:bCs w:val="1"/>
      <w:sz w:val="28"/>
      <w:szCs w:val="28"/>
      <w:lang w:val="es-AR"/>
    </w:rPr>
  </w:style>
  <w:style w:type="character" w:styleId="C6">
    <w:name w:val="Texto de globo Car"/>
    <w:basedOn w:val="C0"/>
    <w:link w:val="P27"/>
    <w:rPr>
      <w:rFonts w:ascii="Tahoma" w:hAnsi="Tahoma" w:cs="Tahoma"/>
      <w:sz w:val="16"/>
      <w:szCs w:val="16"/>
      <w:lang w:val="es-AR"/>
    </w:rPr>
  </w:style>
  <w:style w:type="character" w:styleId="C7">
    <w:name w:val="Texto independiente primera sangría Car"/>
    <w:basedOn w:val="C4"/>
    <w:link w:val="P29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3f530e-6b67-4ced-8afc-79054b08017b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2026-07-09T19:23:24Z</dcterms:created>
  <cp:lastModifiedBy>Federico Parisi</cp:lastModifiedBy>
  <cp:lastPrinted>2010-07-08T12:05:00Z</cp:lastPrinted>
  <dcterms:modified xsi:type="dcterms:W3CDTF">2026-07-09T19:23:24Z</dcterms:modified>
  <cp:revision>2</cp:revision>
  <dc:title>PROYECTO DE ORDENANZA VIOLENCIA FAMILIAR</dc:title>
</cp:coreProperties>
</file>