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6"/>
        <w:ind w:hanging="29" w:left="142"/>
        <w:jc w:val="center"/>
        <w:rPr>
          <w:rFonts w:ascii="JaneAusten" w:hAnsi="JaneAusten"/>
          <w:b w:val="1"/>
          <w:bCs w:val="1"/>
          <w:sz w:val="24"/>
          <w:szCs w:val="24"/>
        </w:rPr>
      </w:pPr>
    </w:p>
    <w:p>
      <w:pPr>
        <w:pStyle w:val="P16"/>
        <w:ind w:left="113"/>
        <w:jc w:val="center"/>
        <w:rPr>
          <w:rFonts w:ascii="JaneAusten" w:hAnsi="JaneAusten" w:cs="Arial"/>
          <w:b w:val="1"/>
          <w:bCs w:val="1"/>
          <w:sz w:val="24"/>
          <w:szCs w:val="24"/>
        </w:rPr>
      </w:pPr>
    </w:p>
    <w:p>
      <w:pPr>
        <w:pStyle w:val="P16"/>
        <w:ind w:left="113"/>
        <w:jc w:val="center"/>
        <w:rPr>
          <w:rFonts w:cs="Times New Roman"/>
          <w:b w:val="1"/>
          <w:bCs w:val="1"/>
          <w:sz w:val="24"/>
          <w:szCs w:val="24"/>
        </w:rPr>
      </w:pPr>
      <w:r>
        <w:rPr>
          <w:rFonts w:ascii="JaneAusten" w:hAnsi="JaneAusten" w:cs="Arial"/>
          <w:b w:val="0"/>
          <w:bCs w:val="0"/>
          <w:sz w:val="24"/>
          <w:szCs w:val="24"/>
        </w:rPr>
        <w:t>“2010 Año del Bicentenario de la Revolución de Mayo”</w:t>
      </w:r>
    </w:p>
    <w:p>
      <w:pPr>
        <w:pStyle w:val="P4"/>
      </w:pPr>
    </w:p>
    <w:p>
      <w:pPr>
        <w:pStyle w:val="P4"/>
      </w:pPr>
    </w:p>
    <w:p>
      <w:pPr>
        <w:pStyle w:val="P4"/>
      </w:pPr>
      <w:r>
        <w:t>ORDENANZA Nº 8736</w:t>
      </w:r>
    </w:p>
    <w:p/>
    <w:p>
      <w:pPr>
        <w:ind w:hanging="561" w:left="561"/>
        <w:jc w:val="both"/>
        <w:rPr>
          <w:rFonts w:ascii="Courier New" w:hAnsi="Courier New" w:cs="Courier New"/>
        </w:rPr>
      </w:pPr>
    </w:p>
    <w:p>
      <w:pPr>
        <w:ind w:hanging="426" w:left="426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Visto: El Expediente Nº 1979/09 iniciado por Iriarte, Gabino – Solicitud de Prórroga para el cambio de unidad; y</w:t>
      </w:r>
    </w:p>
    <w:p>
      <w:pPr>
        <w:tabs>
          <w:tab w:val="left" w:pos="5255" w:leader="none"/>
        </w:tabs>
        <w:ind w:hanging="561" w:left="56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ab/>
      </w:r>
    </w:p>
    <w:p>
      <w:pPr>
        <w:pStyle w:val="P2"/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tabs>
          <w:tab w:val="left" w:pos="180" w:leader="none"/>
        </w:tabs>
        <w:ind w:left="426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Que en el mismo se solicita nuevamente una prórroga para el cambio de modelo de automóvil correspondiente a la licencia Nº 006 del Servicio Público de Taxis, de acuerdo a lo establecido por la normativa en vigencia; </w:t>
      </w:r>
    </w:p>
    <w:p>
      <w:pPr>
        <w:tabs>
          <w:tab w:val="left" w:pos="180" w:leader="none"/>
        </w:tabs>
        <w:ind w:left="426"/>
        <w:jc w:val="both"/>
        <w:rPr>
          <w:rFonts w:ascii="Courier New" w:hAnsi="Courier New" w:cs="Courier New"/>
        </w:rPr>
      </w:pPr>
    </w:p>
    <w:p>
      <w:pPr>
        <w:tabs>
          <w:tab w:val="left" w:pos="180" w:leader="none"/>
        </w:tabs>
        <w:ind w:left="426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por Ordenanza Nº 8569 y su modificatoria Nº 8578, se otorgara un primer plazo de prórroga de CIENTO OCHENTA (180) días a tal fin;</w:t>
      </w:r>
    </w:p>
    <w:p>
      <w:pPr>
        <w:tabs>
          <w:tab w:val="left" w:pos="180" w:leader="none"/>
        </w:tabs>
        <w:ind w:left="426"/>
        <w:jc w:val="both"/>
        <w:rPr>
          <w:rFonts w:ascii="Courier New" w:hAnsi="Courier New" w:cs="Courier New"/>
        </w:rPr>
      </w:pPr>
    </w:p>
    <w:p>
      <w:pPr>
        <w:tabs>
          <w:tab w:val="left" w:pos="180" w:leader="none"/>
        </w:tabs>
        <w:ind w:left="426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de acuerdo a nota de fecha 22 de Junio de 2010, que consta a Fs.12, el permisionario, Sr. Gabino Iriarte, solicita una ampliación de la prórroga otorgada anteriormente;</w:t>
      </w:r>
    </w:p>
    <w:p>
      <w:pPr>
        <w:tabs>
          <w:tab w:val="left" w:pos="180" w:leader="none"/>
        </w:tabs>
        <w:ind w:left="426"/>
        <w:jc w:val="both"/>
        <w:rPr>
          <w:rFonts w:ascii="Courier New" w:hAnsi="Courier New" w:cs="Courier New"/>
        </w:rPr>
      </w:pPr>
    </w:p>
    <w:p>
      <w:pPr>
        <w:tabs>
          <w:tab w:val="left" w:pos="180" w:leader="none"/>
        </w:tabs>
        <w:ind w:left="426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de Fs.14 a 34 consta documentación que acredita el cumplimiento de los requisitos para la presentación de este tipo de servicio público, en un todo de acuerdo a la legislación vigente en la materia;</w:t>
      </w:r>
    </w:p>
    <w:p>
      <w:pPr>
        <w:tabs>
          <w:tab w:val="left" w:pos="180" w:leader="none"/>
        </w:tabs>
        <w:ind w:left="426"/>
        <w:jc w:val="both"/>
        <w:rPr>
          <w:rFonts w:ascii="Courier New" w:hAnsi="Courier New" w:cs="Courier New"/>
        </w:rPr>
      </w:pPr>
    </w:p>
    <w:p>
      <w:pPr>
        <w:ind w:left="426"/>
        <w:jc w:val="both"/>
        <w:rPr>
          <w:rFonts w:ascii="Courier New" w:hAnsi="Courier New"/>
        </w:rPr>
      </w:pPr>
      <w:r>
        <w:rPr>
          <w:rFonts w:ascii="Courier New" w:hAnsi="Courier New" w:cs="Courier New"/>
        </w:rPr>
        <w:t>Que analizado el Expediente de referencia por la Comisión de Transporte, la misma emite despacho favorable, aprobado por unanimidad en Sesión Ordinaria del día 06 de Octubre de 2010</w:t>
      </w:r>
      <w:r>
        <w:rPr>
          <w:rFonts w:ascii="Courier New" w:hAnsi="Courier New"/>
        </w:rPr>
        <w:t>.-</w:t>
      </w:r>
    </w:p>
    <w:p>
      <w:pPr>
        <w:pStyle w:val="P11"/>
        <w:jc w:val="right"/>
      </w:pPr>
      <w:r>
        <w:t>...///</w:t>
      </w:r>
    </w:p>
    <w:p>
      <w:pPr>
        <w:pStyle w:val="P11"/>
        <w:ind w:left="567"/>
        <w:jc w:val="center"/>
        <w:rPr>
          <w:b w:val="1"/>
          <w:bCs w:val="1"/>
        </w:rPr>
      </w:pPr>
    </w:p>
    <w:p>
      <w:pPr>
        <w:pStyle w:val="P11"/>
        <w:ind w:left="567"/>
        <w:jc w:val="center"/>
        <w:rPr>
          <w:b w:val="1"/>
          <w:bCs w:val="1"/>
        </w:rPr>
      </w:pPr>
    </w:p>
    <w:p>
      <w:pPr>
        <w:pStyle w:val="P11"/>
        <w:ind w:left="567"/>
        <w:jc w:val="center"/>
        <w:rPr>
          <w:b w:val="1"/>
          <w:bCs w:val="1"/>
        </w:rPr>
      </w:pPr>
    </w:p>
    <w:p>
      <w:pPr>
        <w:pStyle w:val="P11"/>
        <w:ind w:left="567"/>
        <w:jc w:val="center"/>
        <w:rPr>
          <w:b w:val="1"/>
          <w:bCs w:val="1"/>
        </w:rPr>
      </w:pPr>
    </w:p>
    <w:p>
      <w:pPr>
        <w:pStyle w:val="P11"/>
        <w:ind w:left="567"/>
        <w:jc w:val="center"/>
        <w:rPr>
          <w:b w:val="1"/>
          <w:bCs w:val="1"/>
        </w:rPr>
      </w:pPr>
    </w:p>
    <w:p>
      <w:pPr>
        <w:pStyle w:val="P11"/>
        <w:ind w:left="567"/>
        <w:jc w:val="center"/>
        <w:rPr>
          <w:b w:val="1"/>
          <w:bCs w:val="1"/>
        </w:rPr>
      </w:pPr>
    </w:p>
    <w:p>
      <w:pPr>
        <w:pStyle w:val="P11"/>
        <w:ind w:left="567"/>
        <w:jc w:val="center"/>
        <w:rPr>
          <w:b w:val="1"/>
          <w:bCs w:val="1"/>
        </w:rPr>
      </w:pPr>
    </w:p>
    <w:p>
      <w:pPr>
        <w:pStyle w:val="P11"/>
        <w:ind w:left="567"/>
        <w:jc w:val="center"/>
        <w:rPr>
          <w:b w:val="1"/>
          <w:bCs w:val="1"/>
        </w:rPr>
      </w:pPr>
    </w:p>
    <w:p>
      <w:pPr>
        <w:pStyle w:val="P11"/>
        <w:ind w:left="567"/>
        <w:jc w:val="center"/>
        <w:rPr>
          <w:b w:val="1"/>
          <w:bCs w:val="1"/>
        </w:rPr>
      </w:pPr>
    </w:p>
    <w:p>
      <w:pPr>
        <w:pStyle w:val="P16"/>
        <w:ind w:left="113"/>
        <w:jc w:val="center"/>
        <w:rPr>
          <w:rFonts w:ascii="JaneAusten" w:hAnsi="JaneAusten" w:cs="Arial"/>
          <w:b w:val="1"/>
          <w:bCs w:val="1"/>
          <w:sz w:val="24"/>
          <w:szCs w:val="24"/>
        </w:rPr>
      </w:pPr>
    </w:p>
    <w:p>
      <w:pPr>
        <w:pStyle w:val="P16"/>
        <w:ind w:left="113"/>
        <w:jc w:val="center"/>
        <w:rPr>
          <w:rFonts w:ascii="JaneAusten" w:hAnsi="JaneAusten" w:cs="Arial"/>
          <w:b w:val="1"/>
          <w:bCs w:val="1"/>
          <w:sz w:val="24"/>
          <w:szCs w:val="24"/>
        </w:rPr>
      </w:pPr>
    </w:p>
    <w:p>
      <w:pPr>
        <w:pStyle w:val="P16"/>
        <w:ind w:left="113"/>
        <w:jc w:val="center"/>
        <w:rPr>
          <w:rFonts w:cs="Times New Roman"/>
          <w:b w:val="1"/>
          <w:bCs w:val="1"/>
          <w:sz w:val="24"/>
          <w:szCs w:val="24"/>
        </w:rPr>
      </w:pPr>
      <w:r>
        <w:rPr>
          <w:rFonts w:ascii="JaneAusten" w:hAnsi="JaneAusten" w:cs="Arial"/>
          <w:b w:val="0"/>
          <w:bCs w:val="0"/>
          <w:sz w:val="24"/>
          <w:szCs w:val="24"/>
        </w:rPr>
        <w:t>“2010 Año del Bicentenario de la Revolución de Mayo”</w:t>
      </w:r>
    </w:p>
    <w:p>
      <w:pPr>
        <w:pStyle w:val="P11"/>
        <w:jc w:val="left"/>
      </w:pPr>
    </w:p>
    <w:p>
      <w:pPr>
        <w:pStyle w:val="P11"/>
        <w:jc w:val="left"/>
      </w:pPr>
      <w:r>
        <w:t>...///2.-</w:t>
      </w:r>
    </w:p>
    <w:p>
      <w:pPr>
        <w:pStyle w:val="P11"/>
        <w:ind w:left="567"/>
        <w:jc w:val="center"/>
        <w:rPr>
          <w:b w:val="1"/>
          <w:bCs w:val="1"/>
        </w:rPr>
      </w:pPr>
    </w:p>
    <w:p>
      <w:pPr>
        <w:pStyle w:val="P11"/>
        <w:ind w:left="567"/>
        <w:jc w:val="center"/>
        <w:rPr>
          <w:b w:val="1"/>
          <w:bCs w:val="1"/>
        </w:rPr>
      </w:pPr>
    </w:p>
    <w:p>
      <w:pPr>
        <w:pStyle w:val="P11"/>
        <w:ind w:left="567"/>
        <w:jc w:val="center"/>
        <w:rPr>
          <w:b w:val="1"/>
          <w:bCs w:val="1"/>
        </w:rPr>
      </w:pPr>
      <w:r>
        <w:rPr>
          <w:b w:val="1"/>
          <w:bCs w:val="1"/>
        </w:rPr>
        <w:t>EL HONORABLE CONCEJO DELIBERANTE DE LA CIUDAD DE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pStyle w:val="P12"/>
        <w:ind w:left="561"/>
        <w:jc w:val="center"/>
        <w:rPr>
          <w:b w:val="1"/>
          <w:bCs w:val="1"/>
        </w:rPr>
      </w:pPr>
      <w:r>
        <w:rPr>
          <w:b w:val="1"/>
          <w:bCs w:val="1"/>
        </w:rPr>
        <w:t>ALTA GRACIA SANCIONA CON FUERZA DE ORDENANZA</w:t>
      </w:r>
    </w:p>
    <w:p>
      <w:pPr>
        <w:pStyle w:val="P12"/>
        <w:ind w:left="561"/>
        <w:jc w:val="center"/>
        <w:rPr>
          <w:b w:val="1"/>
          <w:bCs w:val="1"/>
        </w:rPr>
      </w:pPr>
    </w:p>
    <w:p>
      <w:pPr>
        <w:pStyle w:val="P12"/>
        <w:ind w:left="561"/>
        <w:jc w:val="center"/>
        <w:rPr>
          <w:b w:val="1"/>
          <w:bCs w:val="1"/>
        </w:rPr>
      </w:pPr>
    </w:p>
    <w:p>
      <w:pPr>
        <w:ind w:hanging="426" w:left="426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Art.1</w:t>
      </w:r>
      <w:r>
        <w:rPr>
          <w:rFonts w:ascii="Courier New" w:hAnsi="Courier New" w:cs="Courier New"/>
          <w:b w:val="1"/>
          <w:bCs w:val="1"/>
        </w:rPr>
        <w:t xml:space="preserve">: </w:t>
      </w:r>
      <w:r>
        <w:rPr>
          <w:rFonts w:ascii="Courier New" w:hAnsi="Courier New" w:cs="Courier New"/>
          <w:b w:val="1"/>
          <w:bCs w:val="1"/>
        </w:rPr>
        <w:t>AUTORIZA</w:t>
      </w:r>
      <w:r>
        <w:rPr>
          <w:rFonts w:ascii="Courier New" w:hAnsi="Courier New" w:cs="Courier New"/>
          <w:b w:val="1"/>
          <w:bCs w:val="1"/>
        </w:rPr>
        <w:t>R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</w:rPr>
        <w:t>una ampliación de CIENTO OCHENTA (180) días de la prórroga otorgada por Ordenanza Nº 8569 y modificatoria 8578.-</w:t>
      </w:r>
    </w:p>
    <w:p>
      <w:pPr>
        <w:pStyle w:val="P12"/>
        <w:ind w:hanging="426" w:left="426"/>
        <w:jc w:val="right"/>
      </w:pPr>
    </w:p>
    <w:p>
      <w:pPr>
        <w:ind w:hanging="360" w:left="36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</w:t>
      </w:r>
      <w:r>
        <w:rPr>
          <w:rFonts w:ascii="Courier New" w:hAnsi="Courier New" w:cs="Courier New"/>
          <w:b w:val="1"/>
          <w:bCs w:val="1"/>
          <w:u w:val="single"/>
        </w:rPr>
        <w:t>.</w:t>
      </w:r>
      <w:r>
        <w:rPr>
          <w:rFonts w:ascii="Courier New" w:hAnsi="Courier New" w:cs="Courier New"/>
          <w:b w:val="1"/>
          <w:bCs w:val="1"/>
          <w:u w:val="single"/>
        </w:rPr>
        <w:t>2</w:t>
      </w:r>
      <w:r>
        <w:rPr>
          <w:rFonts w:ascii="Courier New" w:hAnsi="Courier New" w:cs="Courier New"/>
          <w:b w:val="1"/>
          <w:bCs w:val="1"/>
        </w:rPr>
        <w:t>: PROTOCOLÍCESE,</w:t>
      </w:r>
      <w:r>
        <w:rPr>
          <w:rFonts w:ascii="Courier New" w:hAnsi="Courier New" w:cs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sz w:val="24"/>
          <w:szCs w:val="24"/>
        </w:rPr>
      </w:pPr>
    </w:p>
    <w:p>
      <w:pPr>
        <w:pStyle w:val="P17"/>
      </w:pPr>
    </w:p>
    <w:p>
      <w:pPr>
        <w:pStyle w:val="P17"/>
      </w:pPr>
      <w:r>
        <w:t xml:space="preserve">DADA EN LA SALA DE SESIONES DEL HONORABLE CONCEJO DELIBERANTE A LOS SEIS DÍAS DEL MES DE OCTUBRE  DEL AÑO DOS MIL DIEZ.- </w:t>
      </w:r>
    </w:p>
    <w:p>
      <w:pPr>
        <w:ind w:hanging="360" w:left="360"/>
        <w:jc w:val="both"/>
        <w:rPr>
          <w:rFonts w:ascii="Courier New" w:hAnsi="Courier New" w:cs="Courier New"/>
          <w:b w:val="1"/>
          <w:bCs w:val="1"/>
          <w:u w:val="single"/>
        </w:rPr>
      </w:pPr>
    </w:p>
    <w:p>
      <w:pPr>
        <w:ind w:hanging="360" w:left="360"/>
        <w:jc w:val="both"/>
        <w:rPr>
          <w:rFonts w:ascii="Courier New" w:hAnsi="Courier New" w:cs="Courier New"/>
          <w:b w:val="1"/>
          <w:bCs w:val="1"/>
          <w:u w:val="single"/>
        </w:rPr>
      </w:pPr>
      <w:r>
        <w:rPr>
          <w:rFonts w:ascii="Courier New" w:hAnsi="Courier New" w:cs="Courier New"/>
          <w:b w:val="1"/>
          <w:bCs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>
        <w:b w:val="0"/>
        <w:i w:val="0"/>
        <w:bCs w:val="0"/>
        <w:iCs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num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6A09A9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 w:cs="Courier New" w:eastAsia="Times New Roman"/>
      </w:rPr>
    </w:lvl>
    <w:lvl w:ilvl="1" w:tplc="170C764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 w:cs="Courier New"/>
      </w:rPr>
    </w:lvl>
    <w:lvl w:ilvl="2" w:tplc="25927DB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586CA9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329FC9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 w:cs="Courier New"/>
      </w:rPr>
    </w:lvl>
    <w:lvl w:ilvl="5" w:tplc="0962B05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3C30F8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E1CAD9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 w:cs="Courier New"/>
      </w:rPr>
    </w:lvl>
    <w:lvl w:ilvl="8" w:tplc="42B09E9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num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num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num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num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num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num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num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num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num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num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num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num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num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num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num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num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num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num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num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num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num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num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num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num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num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num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num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453B54BC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</w:rPr>
    </w:lvl>
    <w:lvl w:ilvl="1" w:tplc="150A5344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cs="Courier New"/>
      </w:rPr>
    </w:lvl>
    <w:lvl w:ilvl="2" w:tplc="43448917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307E9FAC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29779C69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 w:cs="Courier New"/>
      </w:rPr>
    </w:lvl>
    <w:lvl w:ilvl="5" w:tplc="659182E4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123C32B3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4A4B5CEA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 w:cs="Courier New"/>
      </w:rPr>
    </w:lvl>
    <w:lvl w:ilvl="8" w:tplc="1C65FF30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num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num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num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num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num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num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num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num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num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num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num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num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num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num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num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num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num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num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num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num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num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num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num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num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num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num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num" w:pos="6681" w:leader="none"/>
        </w:tabs>
      </w:pPr>
      <w:rPr/>
    </w:lvl>
  </w:abstractNum>
  <w:abstractNum w:abstractNumId="19">
    <w:nsid w:val="5A042302"/>
    <w:multiLevelType w:val="hybridMultilevel"/>
    <w:lvl w:ilvl="0" w:tplc="615E3A73">
      <w:start w:val="0"/>
      <w:numFmt w:val="bullet"/>
      <w:suff w:val="tab"/>
      <w:lvlText w:val="-"/>
      <w:lvlJc w:val="left"/>
      <w:pPr>
        <w:ind w:hanging="360" w:left="360"/>
        <w:tabs>
          <w:tab w:val="num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  <w:bCs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num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num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num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num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num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num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num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num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num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efaultTabStop w:val="709"/>
  <w:autoHyphenation w:val="0"/>
  <w:hyphenationZone w:val="425"/>
  <w:evenAndOddHeaders w:val="0"/>
  <w:characterSpacingControl w:val="compressPunctuation"/>
  <w:compat>
    <w:alignTablesRowByRow/>
    <w:splitPgBreakAndParaMark/>
    <w:growAutofit/>
    <w:underlineTabInNumList/>
    <w:doNotBreakConstrainedForcedTable/>
    <w:doNotBreakWrappedTables/>
    <w:doNotVertAlignCellWithSp/>
    <w:footnoteLayoutLikeWW8/>
    <w:shap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qFormat/>
    <w:pPr/>
    <w:rPr>
      <w:sz w:val="24"/>
      <w:szCs w:val="24"/>
      <w:lang w:val="es-AR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3">
    <w:name w:val="Heading 2"/>
    <w:basedOn w:val="P0"/>
    <w:next w:val="P0"/>
    <w:qFormat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bCs w:val="1"/>
      <w:u w:val="single"/>
    </w:rPr>
  </w:style>
  <w:style w:type="paragraph" w:styleId="P5">
    <w:name w:val="Heading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  <w:szCs w:val="144"/>
    </w:rPr>
  </w:style>
  <w:style w:type="paragraph" w:styleId="P6">
    <w:name w:val="Heading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Heading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bCs w:val="1"/>
      <w:sz w:val="144"/>
      <w:szCs w:val="144"/>
    </w:rPr>
  </w:style>
  <w:style w:type="paragraph" w:styleId="P8">
    <w:name w:val="Heading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  <w:bCs w:val="1"/>
    </w:rPr>
  </w:style>
  <w:style w:type="paragraph" w:styleId="P9">
    <w:name w:val="Heading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szCs w:val="22"/>
      <w:u w:val="single"/>
    </w:rPr>
  </w:style>
  <w:style w:type="paragraph" w:styleId="P10">
    <w:name w:val="Heading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bCs w:val="1"/>
      <w:sz w:val="190"/>
      <w:szCs w:val="190"/>
    </w:rPr>
  </w:style>
  <w:style w:type="paragraph" w:styleId="P11">
    <w:name w:val="Body Text"/>
    <w:basedOn w:val="P0"/>
    <w:next w:val="P11"/>
    <w:link w:val="C4"/>
    <w:pPr>
      <w:jc w:val="both"/>
    </w:pPr>
    <w:rPr>
      <w:rFonts w:ascii="Courier New" w:hAnsi="Courier New"/>
    </w:rPr>
  </w:style>
  <w:style w:type="paragraph" w:styleId="P12">
    <w:name w:val="Body Text Indent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Body Text Indent 2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Body Text Indent 3"/>
    <w:basedOn w:val="P0"/>
    <w:next w:val="P14"/>
    <w:pPr>
      <w:ind w:left="748"/>
      <w:jc w:val="both"/>
    </w:pPr>
    <w:rPr>
      <w:rFonts w:ascii="Courier New" w:hAnsi="Courier New"/>
      <w:b w:val="1"/>
      <w:bCs w:val="1"/>
    </w:rPr>
  </w:style>
  <w:style w:type="paragraph" w:styleId="P15">
    <w:name w:val="Header"/>
    <w:basedOn w:val="P0"/>
    <w:next w:val="P15"/>
    <w:pPr>
      <w:tabs>
        <w:tab w:val="center" w:pos="4252" w:leader="none"/>
        <w:tab w:val="right" w:pos="8504" w:leader="none"/>
      </w:tabs>
    </w:pPr>
    <w:rPr>
      <w:lang w:val="es-AR"/>
    </w:rPr>
  </w:style>
  <w:style w:type="paragraph" w:styleId="P16">
    <w:name w:val="Body Text 2"/>
    <w:basedOn w:val="P0"/>
    <w:next w:val="P16"/>
    <w:link w:val="C5"/>
    <w:pPr/>
    <w:rPr>
      <w:rFonts w:ascii="Arial" w:hAnsi="Arial"/>
      <w:b w:val="1"/>
      <w:bCs w:val="1"/>
      <w:sz w:val="28"/>
      <w:szCs w:val="28"/>
    </w:rPr>
  </w:style>
  <w:style w:type="paragraph" w:styleId="P17">
    <w:name w:val="Body Text 3"/>
    <w:basedOn w:val="P0"/>
    <w:next w:val="P17"/>
    <w:pPr>
      <w:jc w:val="both"/>
    </w:pPr>
    <w:rPr>
      <w:rFonts w:ascii="Courier New" w:hAnsi="Courier New"/>
      <w:b w:val="1"/>
      <w:bCs w:val="1"/>
    </w:rPr>
  </w:style>
  <w:style w:type="paragraph" w:styleId="P18">
    <w:name w:val="Title"/>
    <w:basedOn w:val="P0"/>
    <w:next w:val="P18"/>
    <w:qFormat/>
    <w:pPr>
      <w:jc w:val="center"/>
    </w:pPr>
    <w:rPr>
      <w:rFonts w:ascii="Courier New" w:hAnsi="Courier New"/>
      <w:b w:val="1"/>
      <w:bCs w:val="1"/>
      <w:u w:val="single"/>
      <w:lang w:val="es-AR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Plain Text"/>
    <w:basedOn w:val="P0"/>
    <w:next w:val="P20"/>
    <w:link w:val="C8"/>
    <w:pPr/>
    <w:rPr>
      <w:rFonts w:ascii="Courier New" w:hAnsi="Courier New"/>
      <w:sz w:val="20"/>
      <w:szCs w:val="20"/>
    </w:rPr>
  </w:style>
  <w:style w:type="paragraph" w:styleId="P21">
    <w:name w:val="Envelope Return"/>
    <w:basedOn w:val="P0"/>
    <w:next w:val="P21"/>
    <w:pPr>
      <w:jc w:val="both"/>
    </w:pPr>
    <w:rPr>
      <w:rFonts w:ascii="Benguiat Bk BT" w:hAnsi="Benguiat Bk BT"/>
      <w:b w:val="1"/>
      <w:i w:val="1"/>
      <w:bCs w:val="1"/>
      <w:iCs w:val="1"/>
      <w:u w:val="single"/>
    </w:rPr>
  </w:style>
  <w:style w:type="paragraph" w:styleId="P22">
    <w:name w:val="List"/>
    <w:basedOn w:val="P0"/>
    <w:next w:val="P22"/>
    <w:pPr>
      <w:ind w:hanging="283" w:left="283"/>
    </w:pPr>
    <w:rPr>
      <w:lang w:val="es-ES"/>
    </w:rPr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bCs w:val="1"/>
      <w:sz w:val="36"/>
      <w:szCs w:val="36"/>
      <w:snapToGrid w:val="0"/>
      <w:lang w:val="es-MX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>
      <w:snapToGrid w:val="0"/>
      <w:lang w:val="es-MX"/>
    </w:rPr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  <w:szCs w:val="22"/>
      <w:lang w:val="es-ES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bCs w:val="1"/>
      <w:sz w:val="28"/>
      <w:szCs w:val="28"/>
      <w:snapToGrid w:val="0"/>
      <w:lang w:val="es-MX"/>
    </w:rPr>
  </w:style>
  <w:style w:type="paragraph" w:styleId="P27">
    <w:name w:val="Balloon Text"/>
    <w:basedOn w:val="P0"/>
    <w:next w:val="P27"/>
    <w:link w:val="C6"/>
    <w:pPr/>
    <w:rPr>
      <w:rFonts w:ascii="Tahoma" w:hAnsi="Tahoma" w:cs="Tahoma"/>
      <w:sz w:val="16"/>
      <w:szCs w:val="16"/>
    </w:rPr>
  </w:style>
  <w:style w:type="paragraph" w:styleId="P28">
    <w:name w:val="List Paragraph"/>
    <w:basedOn w:val="P0"/>
    <w:next w:val="P28"/>
    <w:qFormat/>
    <w:pPr>
      <w:ind w:left="708"/>
    </w:pPr>
    <w:rPr>
      <w:lang w:val="es-ES"/>
    </w:rPr>
  </w:style>
  <w:style w:type="paragraph" w:styleId="P29">
    <w:name w:val="Footer"/>
    <w:basedOn w:val="P0"/>
    <w:next w:val="P29"/>
    <w:link w:val="C7"/>
    <w:pPr>
      <w:tabs>
        <w:tab w:val="center" w:pos="4419" w:leader="none"/>
        <w:tab w:val="right" w:pos="8838" w:leader="none"/>
      </w:tabs>
    </w:pPr>
    <w:rPr>
      <w:sz w:val="20"/>
      <w:szCs w:val="20"/>
      <w:lang w:val="es-ES"/>
    </w:rPr>
  </w:style>
  <w:style w:type="paragraph" w:styleId="P30">
    <w:name w:val="Body Text First Indent"/>
    <w:basedOn w:val="P11"/>
    <w:next w:val="P30"/>
    <w:link w:val="C9"/>
    <w:pPr>
      <w:spacing w:after="120"/>
      <w:ind w:firstLine="210"/>
      <w:jc w:val="left"/>
    </w:pPr>
    <w:rPr>
      <w:rFonts w:ascii="Times New Roman" w:hAnsi="Times New Roman"/>
      <w:lang w:val="es-ES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/>
      <w:u w:val="single"/>
    </w:rPr>
  </w:style>
  <w:style w:type="character" w:styleId="C3">
    <w:name w:val="Strong"/>
    <w:basedOn w:val="C0"/>
    <w:qFormat/>
    <w:rPr>
      <w:b w:val="1"/>
      <w:bCs w:val="1"/>
    </w:rPr>
  </w:style>
  <w:style w:type="character" w:styleId="C4">
    <w:name w:val="Texto independiente Car"/>
    <w:basedOn w:val="C0"/>
    <w:link w:val="P11"/>
    <w:rPr>
      <w:rFonts w:ascii="Courier New" w:hAnsi="Courier New"/>
      <w:sz w:val="24"/>
      <w:szCs w:val="24"/>
      <w:lang w:val="es-AR"/>
    </w:rPr>
  </w:style>
  <w:style w:type="character" w:styleId="C5">
    <w:name w:val="Texto independiente 2 Car"/>
    <w:basedOn w:val="C0"/>
    <w:link w:val="P16"/>
    <w:rPr>
      <w:rFonts w:ascii="Arial" w:hAnsi="Arial"/>
      <w:b w:val="1"/>
      <w:bCs w:val="1"/>
      <w:sz w:val="28"/>
      <w:szCs w:val="28"/>
      <w:lang w:val="es-AR"/>
    </w:rPr>
  </w:style>
  <w:style w:type="character" w:styleId="C6">
    <w:name w:val="Texto de globo Car"/>
    <w:basedOn w:val="C0"/>
    <w:link w:val="P27"/>
    <w:rPr>
      <w:rFonts w:ascii="Tahoma" w:hAnsi="Tahoma" w:cs="Tahoma"/>
      <w:sz w:val="16"/>
      <w:szCs w:val="16"/>
      <w:lang w:val="es-AR"/>
    </w:rPr>
  </w:style>
  <w:style w:type="character" w:styleId="C7">
    <w:name w:val="Pie de página Car"/>
    <w:basedOn w:val="C0"/>
    <w:link w:val="P29"/>
    <w:rPr>
      <w:lang/>
    </w:rPr>
  </w:style>
  <w:style w:type="character" w:styleId="C8">
    <w:name w:val="Texto sin formato Car"/>
    <w:basedOn w:val="C0"/>
    <w:link w:val="P20"/>
    <w:rPr>
      <w:rFonts w:ascii="Courier New" w:hAnsi="Courier New"/>
      <w:lang w:val="es-AR"/>
    </w:rPr>
  </w:style>
  <w:style w:type="character" w:styleId="C9">
    <w:name w:val="Texto independiente primera sangría Car"/>
    <w:basedOn w:val="C4"/>
    <w:link w:val="P30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da157c-f65b-4d60-92a5-a3233dbe86c1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2026-07-09T19:24:15Z</dcterms:created>
  <cp:lastModifiedBy>Federico Parisi</cp:lastModifiedBy>
  <cp:lastPrinted>2010-10-08T12:14:00Z</cp:lastPrinted>
  <dcterms:modified xsi:type="dcterms:W3CDTF">2026-07-09T19:24:15Z</dcterms:modified>
  <cp:revision>2</cp:revision>
  <dc:title>PROYECTO DE ORDENANZA VIOLENCIA FAMILIAR</dc:title>
</cp:coreProperties>
</file>