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center"/>
        <w:outlineLvl w:val="0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ORDENANZA  N° 7956 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385/I/07; y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center"/>
        <w:outlineLvl w:val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4"/>
        <w:jc w:val="both"/>
        <w:rPr>
          <w:sz w:val="24"/>
          <w:szCs w:val="24"/>
        </w:rPr>
      </w:pPr>
    </w:p>
    <w:p>
      <w:pPr>
        <w:pStyle w:val="P4"/>
        <w:jc w:val="both"/>
        <w:rPr>
          <w:sz w:val="24"/>
          <w:szCs w:val="24"/>
        </w:rPr>
      </w:pP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mediante el mismo la Sra. Vitta Amelia Antonia Paz solicita plan de pagos para abonar la deuda que en concepto de Tasa por Servicios de Administración y Mantenimiento de los cementerios mantiene por la Identificación Nº 4311;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mediante Ordenanza Nº 7779 de fecha 02 de Agosto de 2007 se autoriza al Departamento Ejecutivo a otorgar un plan de pagos por la deuda;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Que, al tomar conocimiento el área de cementerio informa que la Identificación Nº 4311 posee la concesión de uso vencida;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teniendo en cuenta que se trata de personas mayores que viven de una jubilación;</w:t>
      </w:r>
    </w:p>
    <w:p>
      <w:pPr>
        <w:pStyle w:val="P5"/>
        <w:spacing w:before="100" w:after="100"/>
        <w:ind w:left="709" w:right="-5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evaluando el Expediente de referencia por la Comisión de hacienda, se emite despacho favorable, aprobado por unanimidad en Sesión Ordinaria del día 12 de Marzo de 2008. </w:t>
      </w: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ind w:left="709"/>
        <w:jc w:val="center"/>
        <w:outlineLvl w:val="0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</w:rPr>
      </w:pPr>
    </w:p>
    <w:p>
      <w:pPr>
        <w:ind w:left="709"/>
        <w:jc w:val="center"/>
        <w:outlineLvl w:val="0"/>
        <w:rPr>
          <w:rFonts w:ascii="Courier New" w:hAnsi="Courier New"/>
        </w:rPr>
      </w:pPr>
      <w:r>
        <w:rPr>
          <w:rFonts w:ascii="Courier New" w:hAnsi="Courier New"/>
        </w:rPr>
        <w:t xml:space="preserve">   ALTA GRACIA SANCIONA CON FUERZA DE ORDENANZA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>EXIMASE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el pago de </w:t>
      </w:r>
      <w:r>
        <w:rPr>
          <w:rFonts w:ascii="Courier New" w:hAnsi="Courier New"/>
          <w:b w:val="0"/>
          <w:bCs w:val="0"/>
        </w:rPr>
        <w:t>renovaci</w:t>
      </w:r>
      <w:r>
        <w:rPr>
          <w:rFonts w:ascii="Courier New" w:hAnsi="Courier New"/>
          <w:b w:val="0"/>
          <w:bCs w:val="0"/>
        </w:rPr>
        <w:t>ón de concesi</w:t>
      </w:r>
      <w:r>
        <w:rPr>
          <w:rFonts w:ascii="Courier New" w:hAnsi="Courier New"/>
          <w:b w:val="0"/>
          <w:bCs w:val="0"/>
        </w:rPr>
        <w:t>ón de uso por el t</w:t>
      </w:r>
      <w:r>
        <w:rPr>
          <w:rFonts w:ascii="Courier New" w:hAnsi="Courier New"/>
          <w:b w:val="0"/>
          <w:bCs w:val="0"/>
        </w:rPr>
        <w:t>érmino de Diez (10) años a la Identificaci</w:t>
      </w:r>
      <w:r>
        <w:rPr>
          <w:rFonts w:ascii="Courier New" w:hAnsi="Courier New"/>
          <w:b w:val="0"/>
          <w:bCs w:val="0"/>
        </w:rPr>
        <w:t>ón N</w:t>
      </w:r>
      <w:r>
        <w:rPr>
          <w:rFonts w:ascii="Courier New" w:hAnsi="Courier New"/>
          <w:b w:val="0"/>
          <w:bCs w:val="0"/>
        </w:rPr>
        <w:t>º 4311.</w:t>
      </w:r>
    </w:p>
    <w:p>
      <w:pPr>
        <w:ind w:hanging="709" w:left="709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>: PROTOCOLÍCESE</w:t>
      </w:r>
      <w:r>
        <w:rPr>
          <w:rFonts w:ascii="Courier New" w:hAnsi="Courier New"/>
          <w:b w:val="0"/>
          <w:bCs w:val="0"/>
        </w:rPr>
        <w:t>, comuníquese, incorpórese al libro de Ordenanzas y archívese.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pStyle w:val="P4"/>
        <w:ind w:left="709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LOS DOCE DÍAS DEL MES DE MARZO DEL AÑO DOS MIL OCHO.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rPr>
          <w:rFonts w:ascii="Courier New" w:hAnsi="Courier New"/>
          <w:b w:val="1"/>
          <w:bCs w:val="1"/>
        </w:rPr>
      </w:pPr>
    </w:p>
    <w:p>
      <w:pPr>
        <w:pStyle w:val="P4"/>
        <w:ind w:left="709"/>
        <w:jc w:val="both"/>
        <w:rPr>
          <w:sz w:val="24"/>
          <w:szCs w:val="24"/>
        </w:rPr>
      </w:pPr>
    </w:p>
    <w:p>
      <w:pPr>
        <w:pStyle w:val="P4"/>
        <w:ind w:left="709"/>
        <w:jc w:val="center"/>
        <w:rPr>
          <w:sz w:val="24"/>
          <w:szCs w:val="24"/>
        </w:rPr>
      </w:pPr>
    </w:p>
    <w:p>
      <w:pPr>
        <w:pStyle w:val="P4"/>
        <w:ind w:left="709"/>
        <w:jc w:val="both"/>
        <w:rPr>
          <w:sz w:val="24"/>
          <w:szCs w:val="24"/>
        </w:rPr>
      </w:pPr>
    </w:p>
    <w:sectPr>
      <w:type w:val="continuous"/>
      <w:pgSz w:w="11907" w:h="16840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EA7212F"/>
    <w:multiLevelType w:val="hybridMultilevel"/>
    <w:lvl w:ilvl="0" w:tplc="51D51E56">
      <w:start w:val="1"/>
      <w:numFmt w:val="bullet"/>
      <w:suff w:val="tab"/>
      <w:lvlText w:val=""/>
      <w:lvlJc w:val="left"/>
      <w:pPr>
        <w:ind w:hanging="360" w:left="2421"/>
        <w:tabs>
          <w:tab w:val="num" w:pos="2421" w:leader="none"/>
        </w:tabs>
      </w:pPr>
      <w:rPr>
        <w:rFonts w:ascii="Symbol" w:hAnsi="Symbol"/>
      </w:rPr>
    </w:lvl>
    <w:lvl w:ilvl="1" w:tplc="7CE30795">
      <w:start w:val="1"/>
      <w:numFmt w:val="bullet"/>
      <w:suff w:val="tab"/>
      <w:lvlText w:val="o"/>
      <w:lvlJc w:val="left"/>
      <w:pPr>
        <w:ind w:hanging="360" w:left="3141"/>
        <w:tabs>
          <w:tab w:val="num" w:pos="3141" w:leader="none"/>
        </w:tabs>
      </w:pPr>
      <w:rPr>
        <w:rFonts w:ascii="Courier New" w:hAnsi="Courier New"/>
      </w:rPr>
    </w:lvl>
    <w:lvl w:ilvl="2" w:tplc="3F050C7A">
      <w:start w:val="1"/>
      <w:numFmt w:val="bullet"/>
      <w:suff w:val="tab"/>
      <w:lvlText w:val=""/>
      <w:lvlJc w:val="left"/>
      <w:pPr>
        <w:ind w:hanging="360" w:left="3861"/>
        <w:tabs>
          <w:tab w:val="num" w:pos="3861" w:leader="none"/>
        </w:tabs>
      </w:pPr>
      <w:rPr>
        <w:rFonts w:ascii="Wingdings" w:hAnsi="Wingdings"/>
      </w:rPr>
    </w:lvl>
    <w:lvl w:ilvl="3" w:tplc="7E12784B">
      <w:start w:val="1"/>
      <w:numFmt w:val="bullet"/>
      <w:suff w:val="tab"/>
      <w:lvlText w:val=""/>
      <w:lvlJc w:val="left"/>
      <w:pPr>
        <w:ind w:hanging="360" w:left="4581"/>
        <w:tabs>
          <w:tab w:val="num" w:pos="4581" w:leader="none"/>
        </w:tabs>
      </w:pPr>
      <w:rPr>
        <w:rFonts w:ascii="Symbol" w:hAnsi="Symbol"/>
      </w:rPr>
    </w:lvl>
    <w:lvl w:ilvl="4" w:tplc="29C5191A">
      <w:start w:val="1"/>
      <w:numFmt w:val="bullet"/>
      <w:suff w:val="tab"/>
      <w:lvlText w:val="o"/>
      <w:lvlJc w:val="left"/>
      <w:pPr>
        <w:ind w:hanging="360" w:left="5301"/>
        <w:tabs>
          <w:tab w:val="num" w:pos="5301" w:leader="none"/>
        </w:tabs>
      </w:pPr>
      <w:rPr>
        <w:rFonts w:ascii="Courier New" w:hAnsi="Courier New"/>
      </w:rPr>
    </w:lvl>
    <w:lvl w:ilvl="5" w:tplc="2E69F3CB">
      <w:start w:val="1"/>
      <w:numFmt w:val="bullet"/>
      <w:suff w:val="tab"/>
      <w:lvlText w:val=""/>
      <w:lvlJc w:val="left"/>
      <w:pPr>
        <w:ind w:hanging="360" w:left="6021"/>
        <w:tabs>
          <w:tab w:val="num" w:pos="6021" w:leader="none"/>
        </w:tabs>
      </w:pPr>
      <w:rPr>
        <w:rFonts w:ascii="Wingdings" w:hAnsi="Wingdings"/>
      </w:rPr>
    </w:lvl>
    <w:lvl w:ilvl="6" w:tplc="1FA1F26C">
      <w:start w:val="1"/>
      <w:numFmt w:val="bullet"/>
      <w:suff w:val="tab"/>
      <w:lvlText w:val=""/>
      <w:lvlJc w:val="left"/>
      <w:pPr>
        <w:ind w:hanging="360" w:left="6741"/>
        <w:tabs>
          <w:tab w:val="num" w:pos="6741" w:leader="none"/>
        </w:tabs>
      </w:pPr>
      <w:rPr>
        <w:rFonts w:ascii="Symbol" w:hAnsi="Symbol"/>
      </w:rPr>
    </w:lvl>
    <w:lvl w:ilvl="7" w:tplc="08C72E46">
      <w:start w:val="1"/>
      <w:numFmt w:val="bullet"/>
      <w:suff w:val="tab"/>
      <w:lvlText w:val="o"/>
      <w:lvlJc w:val="left"/>
      <w:pPr>
        <w:ind w:hanging="360" w:left="7461"/>
        <w:tabs>
          <w:tab w:val="num" w:pos="7461" w:leader="none"/>
        </w:tabs>
      </w:pPr>
      <w:rPr>
        <w:rFonts w:ascii="Courier New" w:hAnsi="Courier New"/>
      </w:rPr>
    </w:lvl>
    <w:lvl w:ilvl="8" w:tplc="0578E343">
      <w:start w:val="1"/>
      <w:numFmt w:val="bullet"/>
      <w:suff w:val="tab"/>
      <w:lvlText w:val=""/>
      <w:lvlJc w:val="left"/>
      <w:pPr>
        <w:ind w:hanging="360" w:left="8181"/>
        <w:tabs>
          <w:tab w:val="num" w:pos="8181" w:leader="none"/>
        </w:tabs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qFormat/>
    <w:pPr>
      <w:keepNext w:val="1"/>
      <w:spacing w:before="240" w:after="60"/>
      <w:outlineLvl w:val="0"/>
    </w:pPr>
    <w:rPr>
      <w:rFonts w:ascii="Arial" w:hAnsi="Arial"/>
      <w:color w:val="auto"/>
      <w:sz w:val="28"/>
      <w:szCs w:val="28"/>
      <w:kern w:val="28"/>
      <w:lang w:val="es-ES"/>
    </w:rPr>
  </w:style>
  <w:style w:type="paragraph" w:styleId="P2">
    <w:name w:val="Heading 2"/>
    <w:basedOn w:val="P0"/>
    <w:next w:val="P0"/>
    <w:qFormat/>
    <w:pPr>
      <w:keepNext w:val="1"/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outlineLvl w:val="1"/>
    </w:pPr>
    <w:rPr>
      <w:rFonts w:ascii="Times" w:hAnsi="Times"/>
    </w:rPr>
  </w:style>
  <w:style w:type="paragraph" w:styleId="P3">
    <w:name w:val="Heading 3"/>
    <w:basedOn w:val="P0"/>
    <w:next w:val="P0"/>
    <w:qFormat/>
    <w:pPr>
      <w:keepNext w:val="1"/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outlineLvl w:val="2"/>
    </w:pPr>
    <w:rPr>
      <w:i w:val="1"/>
      <w:iCs w:val="1"/>
      <w:lang w:val="en-US"/>
    </w:rPr>
  </w:style>
  <w:style w:type="paragraph" w:styleId="P4">
    <w:name w:val="Plain Text"/>
    <w:basedOn w:val="P0"/>
    <w:next w:val="P4"/>
    <w:pPr/>
    <w:rPr>
      <w:rFonts w:ascii="Courier New" w:hAnsi="Courier New"/>
      <w:b w:val="0"/>
      <w:bCs w:val="0"/>
      <w:color w:val="auto"/>
      <w:sz w:val="20"/>
      <w:szCs w:val="20"/>
      <w:lang w:val="es-ES"/>
    </w:rPr>
  </w:style>
  <w:style w:type="paragraph" w:styleId="P5">
    <w:name w:val="Body Text"/>
    <w:basedOn w:val="P0"/>
    <w:next w:val="P5"/>
    <w:pPr/>
    <w:rPr>
      <w:b w:val="0"/>
      <w:bCs w:val="0"/>
      <w:color w:val="auto"/>
      <w:sz w:val="28"/>
      <w:szCs w:val="28"/>
      <w:lang w:val="es-ES"/>
    </w:rPr>
  </w:style>
  <w:style w:type="paragraph" w:styleId="P6">
    <w:name w:val="Header"/>
    <w:basedOn w:val="P0"/>
    <w:next w:val="P6"/>
    <w:pPr>
      <w:tabs>
        <w:tab w:val="center" w:pos="4419" w:leader="none"/>
        <w:tab w:val="right" w:pos="8838" w:leader="none"/>
      </w:tabs>
    </w:pPr>
    <w:rPr>
      <w:b w:val="0"/>
      <w:bCs w:val="0"/>
      <w:color w:val="auto"/>
      <w:sz w:val="20"/>
      <w:szCs w:val="20"/>
      <w:lang/>
    </w:rPr>
  </w:style>
  <w:style w:type="paragraph" w:styleId="P7">
    <w:name w:val="Body Text 2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</w:pPr>
    <w:rPr>
      <w:sz w:val="16"/>
      <w:szCs w:val="16"/>
    </w:rPr>
  </w:style>
  <w:style w:type="paragraph" w:styleId="P9">
    <w:name w:val="Body Text Indent"/>
    <w:basedOn w:val="P0"/>
    <w:next w:val="P9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ind w:left="709"/>
      <w:jc w:val="both"/>
    </w:pPr>
    <w:rPr>
      <w:rFonts w:ascii="Courier New" w:hAnsi="Courier New"/>
      <w:b w:val="0"/>
      <w:bCs w:val="0"/>
    </w:rPr>
  </w:style>
  <w:style w:type="paragraph" w:styleId="P10">
    <w:name w:val="Document Map"/>
    <w:basedOn w:val="P0"/>
    <w:next w:val="P10"/>
    <w:pPr>
      <w:shd w:val="clear" w:fill="000080"/>
    </w:pPr>
    <w:rPr>
      <w:rFonts w:ascii="Tahoma" w:hAnsi="Tahoma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2026-07-09T19:23:13Z</dcterms:created>
  <cp:lastModifiedBy>Federico Parisi</cp:lastModifiedBy>
  <cp:lastPrinted>2008-03-15T00:34:00Z</cp:lastPrinted>
  <dcterms:modified xsi:type="dcterms:W3CDTF">2026-07-09T19:23:13Z</dcterms:modified>
  <cp:revision>2</cp:revision>
  <dc:title>VISTO:  El "I ENCUENTRO NACIONAL DE ESTUDIANTES DE INTERCAMBIO "; y</dc:title>
</cp:coreProperties>
</file>