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6"/>
        <w:ind w:hanging="454" w:left="567"/>
        <w:jc w:val="center"/>
        <w:rPr>
          <w:rFonts w:ascii="JaneAusten" w:hAnsi="JaneAusten"/>
          <w:b w:val="1"/>
          <w:bCs w:val="1"/>
          <w:sz w:val="24"/>
          <w:szCs w:val="24"/>
        </w:rPr>
      </w:pPr>
    </w:p>
    <w:p>
      <w:pPr>
        <w:pStyle w:val="P16"/>
        <w:ind w:left="113"/>
        <w:jc w:val="center"/>
        <w:rPr>
          <w:rFonts w:ascii="JaneAusten" w:hAnsi="JaneAusten" w:cs="Arial"/>
          <w:b w:val="1"/>
          <w:bCs w:val="1"/>
          <w:sz w:val="24"/>
          <w:szCs w:val="24"/>
        </w:rPr>
      </w:pPr>
    </w:p>
    <w:p>
      <w:pPr>
        <w:pStyle w:val="P16"/>
        <w:ind w:left="113"/>
        <w:jc w:val="center"/>
        <w:rPr>
          <w:rFonts w:cs="Times New Roman"/>
          <w:b w:val="1"/>
          <w:bCs w:val="1"/>
          <w:sz w:val="24"/>
          <w:szCs w:val="24"/>
        </w:rPr>
      </w:pPr>
      <w:r>
        <w:rPr>
          <w:rFonts w:ascii="JaneAusten" w:hAnsi="JaneAusten" w:cs="Arial"/>
          <w:b w:val="0"/>
          <w:bCs w:val="0"/>
          <w:sz w:val="24"/>
          <w:szCs w:val="24"/>
        </w:rPr>
        <w:t>“2010 Año del Bicentenario de la Revolución de Mayo”</w:t>
      </w:r>
    </w:p>
    <w:p>
      <w:pPr>
        <w:pStyle w:val="P4"/>
      </w:pPr>
    </w:p>
    <w:p/>
    <w:p>
      <w:pPr>
        <w:pStyle w:val="P4"/>
      </w:pPr>
    </w:p>
    <w:p>
      <w:pPr>
        <w:pStyle w:val="P4"/>
      </w:pPr>
      <w:r>
        <w:t>ORDENANZA Nº 8666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 w:cs="Courier New"/>
        </w:rPr>
      </w:pPr>
    </w:p>
    <w:p>
      <w:pPr>
        <w:ind w:hanging="561" w:left="56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Visto: </w:t>
      </w:r>
      <w:r>
        <w:rPr>
          <w:rFonts w:ascii="Courier New" w:hAnsi="Courier New"/>
        </w:rPr>
        <w:t>El Expediente Nº 1318/03</w:t>
      </w:r>
      <w:r>
        <w:rPr>
          <w:rFonts w:ascii="Courier New" w:hAnsi="Courier New" w:cs="Courier New"/>
        </w:rPr>
        <w:t>; y</w:t>
      </w:r>
    </w:p>
    <w:p>
      <w:pPr>
        <w:ind w:hanging="561" w:left="561"/>
        <w:jc w:val="both"/>
        <w:rPr>
          <w:rFonts w:ascii="Courier New" w:hAnsi="Courier New" w:cs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pStyle w:val="P13"/>
        <w:tabs>
          <w:tab w:val="left" w:pos="567" w:leader="none"/>
        </w:tabs>
        <w:ind w:firstLine="0" w:left="567"/>
        <w:rPr>
          <w:rFonts w:cs="Times New Roman"/>
        </w:rPr>
      </w:pPr>
      <w:r>
        <w:rPr>
          <w:rFonts w:cs="Times New Roman"/>
        </w:rPr>
        <w:t>Que mediante el mismo la Sra. Castellano Justina L.C Nº 4.485.654, solicita eximición de la deuda que por Tasa por Servicio a la Propiedad mantiene con la Municipalidad de Alta Gracia el inmueble Designación Catastral 03-01-103-015;</w:t>
      </w:r>
    </w:p>
    <w:p>
      <w:pPr>
        <w:pStyle w:val="P13"/>
        <w:tabs>
          <w:tab w:val="left" w:pos="567" w:leader="none"/>
        </w:tabs>
        <w:ind w:firstLine="0" w:left="567"/>
        <w:rPr>
          <w:rFonts w:cs="Times New Roman"/>
        </w:rPr>
      </w:pPr>
    </w:p>
    <w:p>
      <w:pPr>
        <w:pStyle w:val="P13"/>
        <w:tabs>
          <w:tab w:val="left" w:pos="567" w:leader="none"/>
        </w:tabs>
        <w:ind w:firstLine="0" w:left="567"/>
        <w:rPr>
          <w:rFonts w:cs="Times New Roman"/>
        </w:rPr>
      </w:pPr>
      <w:r>
        <w:rPr>
          <w:rFonts w:cs="Times New Roman"/>
        </w:rPr>
        <w:t>Que la solicitante es viuda, tiene problemas de salud, recibe ayuda de sus familiares y módulo alimentario, cobrando una jubilación mínima;</w:t>
      </w:r>
    </w:p>
    <w:p>
      <w:pPr>
        <w:pStyle w:val="P13"/>
        <w:tabs>
          <w:tab w:val="left" w:pos="567" w:leader="none"/>
        </w:tabs>
        <w:ind w:firstLine="0" w:left="567"/>
        <w:rPr>
          <w:rFonts w:cs="Times New Roman"/>
        </w:rPr>
      </w:pPr>
    </w:p>
    <w:p>
      <w:pPr>
        <w:tabs>
          <w:tab w:val="left" w:pos="567" w:leader="none"/>
        </w:tabs>
        <w:ind w:left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según el Estado de Deuda obrante a Fs. 32 la Sra. Castellano está adeudando los períodos 1996-010 al 1998-012;   </w:t>
      </w:r>
    </w:p>
    <w:p>
      <w:pPr>
        <w:ind w:left="567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</w:p>
    <w:p>
      <w:pPr>
        <w:ind w:left="567"/>
        <w:jc w:val="both"/>
        <w:rPr>
          <w:rFonts w:ascii="Courier New" w:hAnsi="Courier New"/>
        </w:rPr>
      </w:pPr>
      <w:r>
        <w:rPr>
          <w:rFonts w:ascii="Courier New" w:hAnsi="Courier New" w:cs="Courier New"/>
        </w:rPr>
        <w:t>Que analizado el Expediente de referencia por la Comisión de Hacienda, la misma emite despacho favorable, aprobado por unanimidad en Sesión Ordinaria del día 07 de Julio de 2010</w:t>
      </w:r>
      <w:r>
        <w:rPr>
          <w:rFonts w:ascii="Courier New" w:hAnsi="Courier New"/>
        </w:rPr>
        <w:t>.-</w:t>
      </w:r>
    </w:p>
    <w:p>
      <w:pPr>
        <w:tabs>
          <w:tab w:val="left" w:pos="3909" w:leader="none"/>
        </w:tabs>
        <w:ind w:left="567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>
      <w:pPr>
        <w:tabs>
          <w:tab w:val="left" w:pos="3909" w:leader="none"/>
        </w:tabs>
        <w:ind w:left="567"/>
        <w:jc w:val="right"/>
        <w:rPr>
          <w:rFonts w:cs="Times New Roman"/>
        </w:rPr>
      </w:pPr>
      <w:r>
        <w:rPr>
          <w:rFonts w:ascii="Courier New" w:hAnsi="Courier New" w:cs="Courier New"/>
        </w:rPr>
        <w:t xml:space="preserve"> </w:t>
      </w:r>
    </w:p>
    <w:p>
      <w:pPr>
        <w:pStyle w:val="P11"/>
        <w:ind w:left="567"/>
        <w:rPr>
          <w:b w:val="1"/>
          <w:bCs w:val="1"/>
        </w:rPr>
      </w:pPr>
    </w:p>
    <w:p>
      <w:pPr>
        <w:pStyle w:val="P11"/>
        <w:ind w:left="567"/>
        <w:rPr>
          <w:b w:val="1"/>
          <w:bCs w:val="1"/>
        </w:rPr>
      </w:pPr>
      <w:r>
        <w:rPr>
          <w:b w:val="1"/>
          <w:bCs w:val="1"/>
        </w:rPr>
        <w:t>EL HONORABLE CONCEJO DELIBERANTE DE LA CIUDAD DE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pStyle w:val="P12"/>
        <w:ind w:left="561"/>
        <w:rPr>
          <w:b w:val="1"/>
          <w:bCs w:val="1"/>
        </w:rPr>
      </w:pPr>
      <w:r>
        <w:rPr>
          <w:b w:val="1"/>
          <w:bCs w:val="1"/>
        </w:rPr>
        <w:t xml:space="preserve">    ALTA GRACIA SANCIONA CON FUERZA DE ORDENANZA</w:t>
      </w:r>
    </w:p>
    <w:p>
      <w:pPr>
        <w:pStyle w:val="P19"/>
        <w:tabs>
          <w:tab w:val="left" w:pos="1664" w:leader="none"/>
        </w:tabs>
        <w:jc w:val="both"/>
        <w:rPr>
          <w:rFonts w:ascii="Courier New" w:hAnsi="Courier New" w:cs="Courier New"/>
        </w:rPr>
      </w:pPr>
    </w:p>
    <w:p>
      <w:pPr>
        <w:pStyle w:val="P19"/>
        <w:tabs>
          <w:tab w:val="left" w:pos="1664" w:leader="none"/>
        </w:tabs>
        <w:ind w:hanging="1664" w:left="1664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</w:t>
      </w:r>
    </w:p>
    <w:p>
      <w:pPr>
        <w:pStyle w:val="P19"/>
        <w:tabs>
          <w:tab w:val="left" w:pos="1664" w:leader="none"/>
        </w:tabs>
        <w:jc w:val="both"/>
        <w:rPr>
          <w:rFonts w:ascii="Courier New" w:hAnsi="Courier New" w:cs="Courier New"/>
        </w:rPr>
      </w:pPr>
    </w:p>
    <w:p>
      <w:pPr>
        <w:pStyle w:val="P19"/>
        <w:tabs>
          <w:tab w:val="left" w:pos="1664" w:leader="none"/>
        </w:tabs>
        <w:jc w:val="both"/>
        <w:rPr>
          <w:rFonts w:ascii="Courier New" w:hAnsi="Courier New" w:cs="Courier New"/>
        </w:rPr>
      </w:pPr>
    </w:p>
    <w:p>
      <w:pPr>
        <w:pStyle w:val="P19"/>
        <w:tabs>
          <w:tab w:val="left" w:pos="1664" w:leader="none"/>
        </w:tabs>
        <w:jc w:val="both"/>
        <w:rPr>
          <w:rFonts w:ascii="Courier New" w:hAnsi="Courier New" w:cs="Courier New"/>
        </w:rPr>
      </w:pPr>
    </w:p>
    <w:p>
      <w:pPr>
        <w:pStyle w:val="P19"/>
        <w:tabs>
          <w:tab w:val="left" w:pos="1664" w:leader="none"/>
        </w:tabs>
        <w:jc w:val="both"/>
        <w:rPr>
          <w:rFonts w:ascii="Courier New" w:hAnsi="Courier New" w:cs="Courier New"/>
        </w:rPr>
      </w:pPr>
    </w:p>
    <w:p>
      <w:pPr>
        <w:pStyle w:val="P19"/>
        <w:tabs>
          <w:tab w:val="left" w:pos="1664" w:leader="none"/>
        </w:tabs>
        <w:jc w:val="both"/>
        <w:rPr>
          <w:rFonts w:ascii="Courier New" w:hAnsi="Courier New" w:cs="Courier New"/>
        </w:rPr>
      </w:pPr>
    </w:p>
    <w:p>
      <w:pPr>
        <w:pStyle w:val="P19"/>
        <w:tabs>
          <w:tab w:val="left" w:pos="1664" w:leader="none"/>
        </w:tabs>
        <w:jc w:val="both"/>
        <w:rPr>
          <w:rFonts w:ascii="Courier New" w:hAnsi="Courier New" w:cs="Courier New"/>
        </w:rPr>
      </w:pPr>
    </w:p>
    <w:p>
      <w:pPr>
        <w:pStyle w:val="P16"/>
        <w:ind w:left="113"/>
        <w:jc w:val="center"/>
        <w:rPr>
          <w:rFonts w:ascii="JaneAusten" w:hAnsi="JaneAusten" w:cs="Arial"/>
          <w:b w:val="1"/>
          <w:bCs w:val="1"/>
          <w:sz w:val="24"/>
          <w:szCs w:val="24"/>
        </w:rPr>
      </w:pPr>
    </w:p>
    <w:p>
      <w:pPr>
        <w:pStyle w:val="P16"/>
        <w:ind w:left="113"/>
        <w:jc w:val="center"/>
        <w:rPr>
          <w:rFonts w:cs="Times New Roman"/>
          <w:b w:val="1"/>
          <w:bCs w:val="1"/>
          <w:sz w:val="24"/>
          <w:szCs w:val="24"/>
        </w:rPr>
      </w:pPr>
      <w:r>
        <w:rPr>
          <w:rFonts w:ascii="JaneAusten" w:hAnsi="JaneAusten" w:cs="Arial"/>
          <w:b w:val="0"/>
          <w:bCs w:val="0"/>
          <w:sz w:val="24"/>
          <w:szCs w:val="24"/>
        </w:rPr>
        <w:t>“2010 Año del Bicentenario de la Revolución de Mayo”</w:t>
      </w:r>
    </w:p>
    <w:p>
      <w:pPr>
        <w:pStyle w:val="P22"/>
        <w:ind w:hanging="426" w:left="426"/>
        <w:contextualSpacing w:val="1"/>
        <w:jc w:val="both"/>
        <w:rPr>
          <w:rFonts w:ascii="Courier New" w:hAnsi="Courier New" w:cs="Courier New"/>
          <w:lang w:val="es-AR"/>
        </w:rPr>
      </w:pPr>
    </w:p>
    <w:p>
      <w:pPr>
        <w:pStyle w:val="P22"/>
        <w:ind w:hanging="426" w:left="426"/>
        <w:contextualSpacing w:val="1"/>
        <w:jc w:val="both"/>
        <w:rPr>
          <w:rFonts w:ascii="Courier New" w:hAnsi="Courier New" w:cs="Courier New"/>
          <w:lang w:val="es-AR"/>
        </w:rPr>
      </w:pPr>
      <w:r>
        <w:rPr>
          <w:rFonts w:ascii="Courier New" w:hAnsi="Courier New" w:cs="Courier New"/>
          <w:lang w:val="es-AR"/>
        </w:rPr>
        <w:t>...///2.-</w:t>
      </w:r>
    </w:p>
    <w:p>
      <w:pPr>
        <w:pStyle w:val="P22"/>
        <w:ind w:hanging="426" w:left="426"/>
        <w:contextualSpacing w:val="1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pStyle w:val="P22"/>
        <w:ind w:hanging="426" w:left="426"/>
        <w:contextualSpacing w:val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Art.1</w:t>
      </w:r>
      <w:r>
        <w:rPr>
          <w:rFonts w:ascii="Courier New" w:hAnsi="Courier New" w:cs="Courier New"/>
          <w:b w:val="1"/>
          <w:bCs w:val="1"/>
        </w:rPr>
        <w:t>: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 w:val="1"/>
          <w:bCs w:val="1"/>
        </w:rPr>
        <w:t>EXIM</w:t>
      </w:r>
      <w:r>
        <w:rPr>
          <w:rFonts w:ascii="Courier New" w:hAnsi="Courier New" w:cs="Courier New"/>
          <w:b w:val="1"/>
          <w:bCs w:val="1"/>
        </w:rPr>
        <w:t>ASE</w:t>
      </w:r>
      <w:r>
        <w:rPr>
          <w:rFonts w:ascii="Courier New" w:hAnsi="Courier New" w:cs="Courier New"/>
        </w:rPr>
        <w:t xml:space="preserve"> el CIEN POR CIENTO (100%) de los períodos vencidos y no prescriptos de la deuda que en concepto de Tasa por Servicios a la Propiedad mantiene con la Municipalidad de Alta Gracia el inmueble Designación Catastral 03-01-103-015.-</w:t>
      </w:r>
    </w:p>
    <w:p>
      <w:pPr>
        <w:pStyle w:val="P22"/>
        <w:ind w:hanging="426" w:left="426"/>
        <w:contextualSpacing w:val="1"/>
        <w:jc w:val="both"/>
        <w:rPr>
          <w:rFonts w:ascii="Courier New" w:hAnsi="Courier New" w:cs="Courier New"/>
        </w:rPr>
      </w:pPr>
    </w:p>
    <w:p>
      <w:pPr>
        <w:ind w:hanging="360" w:left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</w:t>
      </w:r>
      <w:r>
        <w:rPr>
          <w:rFonts w:ascii="Courier New" w:hAnsi="Courier New" w:cs="Courier New"/>
          <w:b w:val="1"/>
          <w:bCs w:val="1"/>
          <w:u w:val="single"/>
        </w:rPr>
        <w:t>2</w:t>
      </w:r>
      <w:r>
        <w:rPr>
          <w:rFonts w:ascii="Courier New" w:hAnsi="Courier New" w:cs="Courier New"/>
          <w:b w:val="1"/>
          <w:bCs w:val="1"/>
        </w:rPr>
        <w:t>: PROTOCOLÍCESE,</w:t>
      </w:r>
      <w:r>
        <w:rPr>
          <w:rFonts w:ascii="Courier New" w:hAnsi="Courier New" w:cs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sz w:val="24"/>
          <w:szCs w:val="24"/>
        </w:rPr>
      </w:pPr>
    </w:p>
    <w:p>
      <w:pPr>
        <w:pStyle w:val="P17"/>
      </w:pPr>
    </w:p>
    <w:p>
      <w:pPr>
        <w:pStyle w:val="P17"/>
      </w:pPr>
      <w:r>
        <w:t xml:space="preserve">DADA EN LA SALA DE SESIONES DEL HONORABLE CONCEJO DELIBERANTE A LOS SIETE DÍAS DEL MES DE JULIO DEL AÑO DOS MIL DIEZ.- </w:t>
      </w:r>
    </w:p>
    <w:p>
      <w:pPr>
        <w:ind w:hanging="360" w:left="360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360" w:left="360"/>
        <w:jc w:val="both"/>
        <w:rPr>
          <w:rFonts w:ascii="Courier New" w:hAnsi="Courier New" w:cs="Courier New"/>
          <w:b w:val="1"/>
          <w:bCs w:val="1"/>
          <w:u w:val="single"/>
        </w:rPr>
      </w:pPr>
      <w:r>
        <w:rPr>
          <w:rFonts w:ascii="Courier New" w:hAnsi="Courier New" w:cs="Courier New"/>
          <w:b w:val="1"/>
          <w:bCs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num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3A18AFC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 w:cs="Courier New" w:eastAsia="Times New Roman"/>
      </w:rPr>
    </w:lvl>
    <w:lvl w:ilvl="1" w:tplc="4FFD3E8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 w:cs="Courier New"/>
      </w:rPr>
    </w:lvl>
    <w:lvl w:ilvl="2" w:tplc="3D50E5A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2E37E8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F6D757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 w:cs="Courier New"/>
      </w:rPr>
    </w:lvl>
    <w:lvl w:ilvl="5" w:tplc="38EDCB5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4A75AF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56DE73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 w:cs="Courier New"/>
      </w:rPr>
    </w:lvl>
    <w:lvl w:ilvl="8" w:tplc="646A6FC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num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num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num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num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num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num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num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num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num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num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num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num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num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num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num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num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num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num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num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num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num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num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num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num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num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num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num" w:pos="7396" w:leader="none"/>
        </w:tabs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num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num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num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num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num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num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num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num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num" w:pos="6681" w:leader="none"/>
        </w:tabs>
      </w:pPr>
      <w:rPr/>
    </w:lvl>
  </w:abstractNum>
  <w:abstractNum w:abstractNumId="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0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13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7"/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9"/>
  <w:autoHyphenation w:val="0"/>
  <w:hyphenationZone w:val="425"/>
  <w:evenAndOddHeaders w:val="0"/>
  <w:characterSpacingControl w:val="compressPunctuation"/>
  <w:compat>
    <w:alignTablesRowByRow/>
    <w:splitPgBreakAndParaMark/>
    <w:growAutofit/>
    <w:underlineTabInNumList/>
    <w:doNotBreakConstrainedForcedTable/>
    <w:doNotBreakWrappedTables/>
    <w:doNotVertAlignCellWithSp/>
    <w:footnoteLayoutLikeWW8/>
    <w:shap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qFormat/>
    <w:pPr/>
    <w:rPr>
      <w:sz w:val="24"/>
      <w:szCs w:val="24"/>
      <w:lang w:val="es-AR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3">
    <w:name w:val="Heading 2"/>
    <w:basedOn w:val="P0"/>
    <w:next w:val="P0"/>
    <w:qFormat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5">
    <w:name w:val="Heading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  <w:szCs w:val="144"/>
    </w:rPr>
  </w:style>
  <w:style w:type="paragraph" w:styleId="P6">
    <w:name w:val="Heading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Heading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bCs w:val="1"/>
      <w:sz w:val="144"/>
      <w:szCs w:val="144"/>
    </w:rPr>
  </w:style>
  <w:style w:type="paragraph" w:styleId="P8">
    <w:name w:val="Heading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  <w:bCs w:val="1"/>
    </w:rPr>
  </w:style>
  <w:style w:type="paragraph" w:styleId="P9">
    <w:name w:val="Heading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szCs w:val="22"/>
      <w:u w:val="single"/>
    </w:rPr>
  </w:style>
  <w:style w:type="paragraph" w:styleId="P10">
    <w:name w:val="Heading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bCs w:val="1"/>
      <w:sz w:val="190"/>
      <w:szCs w:val="190"/>
    </w:rPr>
  </w:style>
  <w:style w:type="paragraph" w:styleId="P11">
    <w:name w:val="Body Text"/>
    <w:basedOn w:val="P0"/>
    <w:next w:val="P11"/>
    <w:link w:val="C4"/>
    <w:pPr>
      <w:jc w:val="both"/>
    </w:pPr>
    <w:rPr>
      <w:rFonts w:ascii="Courier New" w:hAnsi="Courier New"/>
    </w:rPr>
  </w:style>
  <w:style w:type="paragraph" w:styleId="P12">
    <w:name w:val="Body Text Indent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Body Text Indent 2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Body Text Indent 3"/>
    <w:basedOn w:val="P0"/>
    <w:next w:val="P14"/>
    <w:pPr>
      <w:ind w:left="748"/>
      <w:jc w:val="both"/>
    </w:pPr>
    <w:rPr>
      <w:rFonts w:ascii="Courier New" w:hAnsi="Courier New"/>
      <w:b w:val="1"/>
      <w:bCs w:val="1"/>
    </w:rPr>
  </w:style>
  <w:style w:type="paragraph" w:styleId="P15">
    <w:name w:val="Header"/>
    <w:basedOn w:val="P0"/>
    <w:next w:val="P15"/>
    <w:pPr>
      <w:tabs>
        <w:tab w:val="center" w:pos="4252" w:leader="none"/>
        <w:tab w:val="right" w:pos="8504" w:leader="none"/>
      </w:tabs>
    </w:pPr>
    <w:rPr>
      <w:lang w:val="es-AR"/>
    </w:rPr>
  </w:style>
  <w:style w:type="paragraph" w:styleId="P16">
    <w:name w:val="Body Text 2"/>
    <w:basedOn w:val="P0"/>
    <w:next w:val="P16"/>
    <w:link w:val="C5"/>
    <w:pPr/>
    <w:rPr>
      <w:rFonts w:ascii="Arial" w:hAnsi="Arial"/>
      <w:b w:val="1"/>
      <w:bCs w:val="1"/>
      <w:sz w:val="28"/>
      <w:szCs w:val="28"/>
    </w:rPr>
  </w:style>
  <w:style w:type="paragraph" w:styleId="P17">
    <w:name w:val="Body Text 3"/>
    <w:basedOn w:val="P0"/>
    <w:next w:val="P17"/>
    <w:pPr>
      <w:jc w:val="both"/>
    </w:pPr>
    <w:rPr>
      <w:rFonts w:ascii="Courier New" w:hAnsi="Courier New"/>
      <w:b w:val="1"/>
      <w:bCs w:val="1"/>
    </w:rPr>
  </w:style>
  <w:style w:type="paragraph" w:styleId="P18">
    <w:name w:val="Title"/>
    <w:basedOn w:val="P0"/>
    <w:next w:val="P18"/>
    <w:qFormat/>
    <w:pPr>
      <w:jc w:val="center"/>
    </w:pPr>
    <w:rPr>
      <w:rFonts w:ascii="Courier New" w:hAnsi="Courier New"/>
      <w:b w:val="1"/>
      <w:bCs w:val="1"/>
      <w:u w:val="single"/>
      <w:lang w:val="es-AR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Plain Text"/>
    <w:basedOn w:val="P0"/>
    <w:next w:val="P20"/>
    <w:pPr/>
    <w:rPr>
      <w:rFonts w:ascii="Courier New" w:hAnsi="Courier New"/>
      <w:sz w:val="20"/>
      <w:szCs w:val="20"/>
    </w:rPr>
  </w:style>
  <w:style w:type="paragraph" w:styleId="P21">
    <w:name w:val="Envelope Return"/>
    <w:basedOn w:val="P0"/>
    <w:next w:val="P21"/>
    <w:pPr>
      <w:jc w:val="both"/>
    </w:pPr>
    <w:rPr>
      <w:rFonts w:ascii="Benguiat Bk BT" w:hAnsi="Benguiat Bk BT"/>
      <w:b w:val="1"/>
      <w:i w:val="1"/>
      <w:bCs w:val="1"/>
      <w:iCs w:val="1"/>
      <w:u w:val="single"/>
    </w:rPr>
  </w:style>
  <w:style w:type="paragraph" w:styleId="P22">
    <w:name w:val="List"/>
    <w:basedOn w:val="P0"/>
    <w:next w:val="P22"/>
    <w:pPr>
      <w:ind w:hanging="283" w:left="283"/>
    </w:pPr>
    <w:rPr>
      <w:lang w:val="es-ES"/>
    </w:rPr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bCs w:val="1"/>
      <w:sz w:val="36"/>
      <w:szCs w:val="36"/>
      <w:snapToGrid w:val="0"/>
      <w:lang w:val="es-MX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>
      <w:snapToGrid w:val="0"/>
      <w:lang w:val="es-MX"/>
    </w:rPr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  <w:szCs w:val="22"/>
      <w:lang w:val="es-ES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bCs w:val="1"/>
      <w:sz w:val="28"/>
      <w:szCs w:val="28"/>
      <w:snapToGrid w:val="0"/>
      <w:lang w:val="es-MX"/>
    </w:rPr>
  </w:style>
  <w:style w:type="paragraph" w:styleId="P27">
    <w:name w:val="Balloon Text"/>
    <w:basedOn w:val="P0"/>
    <w:next w:val="P27"/>
    <w:link w:val="C6"/>
    <w:pPr/>
    <w:rPr>
      <w:rFonts w:ascii="Tahoma" w:hAnsi="Tahoma" w:cs="Tahoma"/>
      <w:sz w:val="16"/>
      <w:szCs w:val="16"/>
    </w:rPr>
  </w:style>
  <w:style w:type="paragraph" w:styleId="P28">
    <w:name w:val="List Paragraph"/>
    <w:basedOn w:val="P0"/>
    <w:next w:val="P28"/>
    <w:qFormat/>
    <w:pPr>
      <w:ind w:left="708"/>
    </w:pPr>
    <w:rPr>
      <w:lang w:val="es-ES"/>
    </w:rPr>
  </w:style>
  <w:style w:type="paragraph" w:styleId="P29">
    <w:name w:val="Body Text First Indent"/>
    <w:basedOn w:val="P11"/>
    <w:next w:val="P29"/>
    <w:link w:val="C7"/>
    <w:pPr>
      <w:spacing w:after="120"/>
      <w:ind w:firstLine="210"/>
      <w:jc w:val="left"/>
    </w:pPr>
    <w:rPr>
      <w:rFonts w:ascii="Times New Roman" w:hAnsi="Times New Roman"/>
      <w:lang w:val="es-E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/>
      <w:u w:val="single"/>
    </w:rPr>
  </w:style>
  <w:style w:type="character" w:styleId="C3">
    <w:name w:val="Strong"/>
    <w:basedOn w:val="C0"/>
    <w:qFormat/>
    <w:rPr>
      <w:b w:val="1"/>
      <w:bCs w:val="1"/>
    </w:rPr>
  </w:style>
  <w:style w:type="character" w:styleId="C4">
    <w:name w:val="Texto independiente Car"/>
    <w:basedOn w:val="C0"/>
    <w:link w:val="P11"/>
    <w:rPr>
      <w:rFonts w:ascii="Courier New" w:hAnsi="Courier New"/>
      <w:sz w:val="24"/>
      <w:szCs w:val="24"/>
      <w:lang w:val="es-AR"/>
    </w:rPr>
  </w:style>
  <w:style w:type="character" w:styleId="C5">
    <w:name w:val="Texto independiente 2 Car"/>
    <w:basedOn w:val="C0"/>
    <w:link w:val="P16"/>
    <w:rPr>
      <w:rFonts w:ascii="Arial" w:hAnsi="Arial"/>
      <w:b w:val="1"/>
      <w:bCs w:val="1"/>
      <w:sz w:val="28"/>
      <w:szCs w:val="28"/>
      <w:lang w:val="es-AR"/>
    </w:rPr>
  </w:style>
  <w:style w:type="character" w:styleId="C6">
    <w:name w:val="Texto de globo Car"/>
    <w:basedOn w:val="C0"/>
    <w:link w:val="P27"/>
    <w:rPr>
      <w:rFonts w:ascii="Tahoma" w:hAnsi="Tahoma" w:cs="Tahoma"/>
      <w:sz w:val="16"/>
      <w:szCs w:val="16"/>
      <w:lang w:val="es-AR"/>
    </w:rPr>
  </w:style>
  <w:style w:type="character" w:styleId="C7">
    <w:name w:val="Texto independiente primera sangría Car"/>
    <w:basedOn w:val="C4"/>
    <w:link w:val="P29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3f530e-6b67-4ced-8afc-79054b08017b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2026-07-09T19:24:05Z</dcterms:created>
  <cp:lastModifiedBy>Federico Parisi</cp:lastModifiedBy>
  <cp:lastPrinted>2010-07-08T12:05:00Z</cp:lastPrinted>
  <dcterms:modified xsi:type="dcterms:W3CDTF">2026-07-09T19:24:05Z</dcterms:modified>
  <cp:revision>2</cp:revision>
  <dc:title>PROYECTO DE ORDENANZA VIOLENCIA FAMILIAR</dc:title>
</cp:coreProperties>
</file>