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6B9" w:rsidRDefault="008516B9" w:rsidP="00241B87">
      <w:pPr>
        <w:jc w:val="center"/>
        <w:rPr>
          <w:rFonts w:ascii="Arial" w:hAnsi="Arial" w:cs="Arial"/>
          <w:b/>
          <w:bCs/>
        </w:rPr>
      </w:pPr>
    </w:p>
    <w:p w:rsidR="008516B9" w:rsidRPr="008516B9" w:rsidRDefault="008516B9" w:rsidP="008516B9">
      <w:pPr>
        <w:spacing w:line="360" w:lineRule="auto"/>
        <w:jc w:val="center"/>
        <w:rPr>
          <w:rFonts w:ascii="Arial" w:eastAsia="Calibri" w:hAnsi="Arial" w:cs="Arial"/>
          <w:b/>
        </w:rPr>
      </w:pPr>
      <w:r w:rsidRPr="008516B9">
        <w:rPr>
          <w:rFonts w:ascii="Arial" w:eastAsia="Calibri" w:hAnsi="Arial" w:cs="Arial"/>
          <w:b/>
        </w:rPr>
        <w:t>UNIVERSIDAD PRIVADA DOMINGO SAVIO</w:t>
      </w:r>
    </w:p>
    <w:p w:rsidR="008516B9" w:rsidRPr="008516B9" w:rsidRDefault="008516B9" w:rsidP="008516B9">
      <w:pPr>
        <w:spacing w:line="360" w:lineRule="auto"/>
        <w:jc w:val="center"/>
        <w:rPr>
          <w:rFonts w:ascii="Arial" w:eastAsia="Calibri" w:hAnsi="Arial" w:cs="Arial"/>
          <w:b/>
        </w:rPr>
      </w:pPr>
      <w:r w:rsidRPr="008516B9">
        <w:rPr>
          <w:rFonts w:ascii="Arial" w:eastAsia="Calibri" w:hAnsi="Arial" w:cs="Arial"/>
          <w:b/>
        </w:rPr>
        <w:t>FACULTAD DE CIENCIAS JURÍDICAS</w:t>
      </w:r>
    </w:p>
    <w:p w:rsidR="008516B9" w:rsidRPr="008516B9" w:rsidRDefault="008516B9" w:rsidP="008516B9">
      <w:pPr>
        <w:spacing w:line="360" w:lineRule="auto"/>
        <w:jc w:val="center"/>
        <w:rPr>
          <w:rFonts w:ascii="Algerian" w:eastAsia="Calibri" w:hAnsi="Algerian" w:cs="Arial"/>
          <w:b/>
        </w:rPr>
      </w:pPr>
      <w:r w:rsidRPr="008516B9">
        <w:rPr>
          <w:rFonts w:ascii="Arial" w:eastAsia="Calibri" w:hAnsi="Arial" w:cs="Arial"/>
          <w:b/>
        </w:rPr>
        <w:t>CARRERA DE DERECHO</w:t>
      </w:r>
    </w:p>
    <w:p w:rsidR="008516B9" w:rsidRPr="008516B9" w:rsidRDefault="008516B9" w:rsidP="008516B9">
      <w:pPr>
        <w:spacing w:line="360" w:lineRule="auto"/>
        <w:jc w:val="center"/>
        <w:rPr>
          <w:rFonts w:ascii="Arial" w:eastAsia="Calibri" w:hAnsi="Arial" w:cs="Arial"/>
        </w:rPr>
      </w:pPr>
      <w:r w:rsidRPr="008516B9">
        <w:rPr>
          <w:noProof/>
          <w:lang w:val="es-BO" w:eastAsia="es-BO"/>
        </w:rPr>
        <w:drawing>
          <wp:inline distT="0" distB="0" distL="0" distR="0" wp14:anchorId="1FE79DB1" wp14:editId="4C502AFC">
            <wp:extent cx="3818890" cy="2065655"/>
            <wp:effectExtent l="0" t="0" r="0" b="0"/>
            <wp:docPr id="3" name="Imagen 3" descr="C:\Users\ADMINI~1\AppData\Local\Temp\ksohtml1390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ksohtml1390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8890" cy="2065655"/>
                    </a:xfrm>
                    <a:prstGeom prst="rect">
                      <a:avLst/>
                    </a:prstGeom>
                    <a:noFill/>
                    <a:ln>
                      <a:noFill/>
                    </a:ln>
                  </pic:spPr>
                </pic:pic>
              </a:graphicData>
            </a:graphic>
          </wp:inline>
        </w:drawing>
      </w:r>
      <w:r w:rsidRPr="008516B9">
        <w:rPr>
          <w:rFonts w:ascii="Arial" w:eastAsia="Calibri" w:hAnsi="Arial" w:cs="Arial"/>
        </w:rPr>
        <w:t xml:space="preserve"> </w:t>
      </w:r>
    </w:p>
    <w:p w:rsidR="008516B9" w:rsidRPr="008516B9" w:rsidRDefault="008516B9" w:rsidP="008516B9">
      <w:pPr>
        <w:spacing w:line="360" w:lineRule="auto"/>
        <w:jc w:val="center"/>
        <w:rPr>
          <w:rFonts w:ascii="Arial" w:eastAsia="Calibri" w:hAnsi="Arial" w:cs="Arial"/>
          <w:b/>
        </w:rPr>
      </w:pPr>
      <w:r w:rsidRPr="008516B9">
        <w:rPr>
          <w:rFonts w:ascii="Arial" w:eastAsia="Calibri" w:hAnsi="Arial" w:cs="Arial"/>
          <w:b/>
        </w:rPr>
        <w:t>LEVANTAMIENTO DE CADÁVER Y TANATOLOGÍA</w:t>
      </w:r>
    </w:p>
    <w:p w:rsidR="008516B9" w:rsidRPr="00754A64" w:rsidRDefault="008516B9" w:rsidP="00754A64">
      <w:pPr>
        <w:spacing w:line="360" w:lineRule="auto"/>
        <w:rPr>
          <w:rFonts w:ascii="Arial" w:eastAsia="Calibri" w:hAnsi="Arial" w:cs="Arial"/>
          <w:b/>
        </w:rPr>
      </w:pPr>
      <w:r w:rsidRPr="008516B9">
        <w:rPr>
          <w:rFonts w:ascii="Arial" w:eastAsia="Calibri" w:hAnsi="Arial" w:cs="Arial"/>
          <w:b/>
        </w:rPr>
        <w:t>Participantes:</w:t>
      </w:r>
      <w:r w:rsidR="00754A64">
        <w:rPr>
          <w:rFonts w:ascii="Arial" w:eastAsia="Calibri" w:hAnsi="Arial" w:cs="Arial"/>
          <w:b/>
        </w:rPr>
        <w:tab/>
      </w:r>
      <w:r w:rsidRPr="008516B9">
        <w:rPr>
          <w:rFonts w:ascii="Arial" w:eastAsia="Calibri" w:hAnsi="Arial" w:cs="Arial"/>
        </w:rPr>
        <w:t xml:space="preserve">Castro </w:t>
      </w:r>
      <w:proofErr w:type="spellStart"/>
      <w:r w:rsidRPr="008516B9">
        <w:rPr>
          <w:rFonts w:ascii="Arial" w:eastAsia="Calibri" w:hAnsi="Arial" w:cs="Arial"/>
        </w:rPr>
        <w:t>Colque</w:t>
      </w:r>
      <w:proofErr w:type="spellEnd"/>
      <w:r w:rsidRPr="008516B9">
        <w:rPr>
          <w:rFonts w:ascii="Arial" w:eastAsia="Calibri" w:hAnsi="Arial" w:cs="Arial"/>
        </w:rPr>
        <w:t xml:space="preserve"> </w:t>
      </w:r>
      <w:proofErr w:type="spellStart"/>
      <w:r w:rsidRPr="008516B9">
        <w:rPr>
          <w:rFonts w:ascii="Arial" w:eastAsia="Calibri" w:hAnsi="Arial" w:cs="Arial"/>
        </w:rPr>
        <w:t>Yassirali</w:t>
      </w:r>
      <w:proofErr w:type="spellEnd"/>
      <w:r w:rsidRPr="008516B9">
        <w:rPr>
          <w:rFonts w:ascii="Arial" w:eastAsia="Calibri" w:hAnsi="Arial" w:cs="Arial"/>
        </w:rPr>
        <w:t xml:space="preserve"> Alejandra </w:t>
      </w:r>
    </w:p>
    <w:p w:rsidR="008516B9" w:rsidRPr="008516B9" w:rsidRDefault="008516B9" w:rsidP="00754A64">
      <w:pPr>
        <w:spacing w:line="360" w:lineRule="auto"/>
        <w:ind w:left="2124"/>
        <w:rPr>
          <w:rFonts w:ascii="Arial" w:eastAsia="Calibri" w:hAnsi="Arial" w:cs="Arial"/>
        </w:rPr>
      </w:pPr>
      <w:r w:rsidRPr="008516B9">
        <w:rPr>
          <w:rFonts w:ascii="Arial" w:eastAsia="Calibri" w:hAnsi="Arial" w:cs="Arial"/>
        </w:rPr>
        <w:t xml:space="preserve">Cuevas </w:t>
      </w:r>
      <w:proofErr w:type="spellStart"/>
      <w:r w:rsidRPr="008516B9">
        <w:rPr>
          <w:rFonts w:ascii="Arial" w:eastAsia="Calibri" w:hAnsi="Arial" w:cs="Arial"/>
        </w:rPr>
        <w:t>Aucapiña</w:t>
      </w:r>
      <w:proofErr w:type="spellEnd"/>
      <w:r w:rsidRPr="008516B9">
        <w:rPr>
          <w:rFonts w:ascii="Arial" w:eastAsia="Calibri" w:hAnsi="Arial" w:cs="Arial"/>
        </w:rPr>
        <w:t xml:space="preserve"> Julio Cesar</w:t>
      </w:r>
    </w:p>
    <w:p w:rsidR="008516B9" w:rsidRPr="008516B9" w:rsidRDefault="008516B9" w:rsidP="00754A64">
      <w:pPr>
        <w:spacing w:line="360" w:lineRule="auto"/>
        <w:ind w:left="2124"/>
        <w:rPr>
          <w:rFonts w:ascii="Arial" w:eastAsia="Calibri" w:hAnsi="Arial" w:cs="Arial"/>
        </w:rPr>
      </w:pPr>
      <w:r w:rsidRPr="008516B9">
        <w:rPr>
          <w:rFonts w:ascii="Arial" w:eastAsia="Calibri" w:hAnsi="Arial" w:cs="Arial"/>
        </w:rPr>
        <w:t>Flores Paz Raúl Marcelo</w:t>
      </w:r>
    </w:p>
    <w:p w:rsidR="008516B9" w:rsidRPr="008516B9" w:rsidRDefault="008516B9" w:rsidP="00754A64">
      <w:pPr>
        <w:spacing w:line="360" w:lineRule="auto"/>
        <w:ind w:left="2124"/>
        <w:rPr>
          <w:rFonts w:ascii="Arial" w:eastAsia="Calibri" w:hAnsi="Arial" w:cs="Arial"/>
        </w:rPr>
      </w:pPr>
      <w:r w:rsidRPr="008516B9">
        <w:rPr>
          <w:rFonts w:ascii="Arial" w:eastAsia="Calibri" w:hAnsi="Arial" w:cs="Arial"/>
        </w:rPr>
        <w:t>Huertas A. Juan Eduardo</w:t>
      </w:r>
    </w:p>
    <w:p w:rsidR="008516B9" w:rsidRPr="008516B9" w:rsidRDefault="008516B9" w:rsidP="00754A64">
      <w:pPr>
        <w:spacing w:line="360" w:lineRule="auto"/>
        <w:ind w:left="2124"/>
        <w:rPr>
          <w:rFonts w:ascii="Arial" w:eastAsia="Calibri" w:hAnsi="Arial" w:cs="Arial"/>
        </w:rPr>
      </w:pPr>
      <w:proofErr w:type="spellStart"/>
      <w:r w:rsidRPr="008516B9">
        <w:rPr>
          <w:rFonts w:ascii="Arial" w:eastAsia="Calibri" w:hAnsi="Arial" w:cs="Arial"/>
        </w:rPr>
        <w:t>Tancara</w:t>
      </w:r>
      <w:proofErr w:type="spellEnd"/>
      <w:r w:rsidRPr="008516B9">
        <w:rPr>
          <w:rFonts w:ascii="Arial" w:eastAsia="Calibri" w:hAnsi="Arial" w:cs="Arial"/>
        </w:rPr>
        <w:t xml:space="preserve"> </w:t>
      </w:r>
      <w:proofErr w:type="spellStart"/>
      <w:r w:rsidRPr="008516B9">
        <w:rPr>
          <w:rFonts w:ascii="Arial" w:eastAsia="Calibri" w:hAnsi="Arial" w:cs="Arial"/>
        </w:rPr>
        <w:t>Limachi</w:t>
      </w:r>
      <w:proofErr w:type="spellEnd"/>
      <w:r w:rsidRPr="008516B9">
        <w:rPr>
          <w:rFonts w:ascii="Arial" w:eastAsia="Calibri" w:hAnsi="Arial" w:cs="Arial"/>
        </w:rPr>
        <w:t xml:space="preserve"> Wendy                              </w:t>
      </w:r>
    </w:p>
    <w:p w:rsidR="008516B9" w:rsidRPr="008516B9" w:rsidRDefault="008516B9" w:rsidP="00754A64">
      <w:pPr>
        <w:spacing w:line="360" w:lineRule="auto"/>
        <w:ind w:left="2124"/>
        <w:rPr>
          <w:rFonts w:ascii="Arial" w:eastAsia="Calibri" w:hAnsi="Arial" w:cs="Arial"/>
        </w:rPr>
      </w:pPr>
      <w:r w:rsidRPr="008516B9">
        <w:rPr>
          <w:rFonts w:ascii="Arial" w:eastAsia="Calibri" w:hAnsi="Arial" w:cs="Arial"/>
        </w:rPr>
        <w:t xml:space="preserve">Torres Flores Bryan Andrés          </w:t>
      </w:r>
    </w:p>
    <w:p w:rsidR="008516B9" w:rsidRPr="008516B9" w:rsidRDefault="008516B9" w:rsidP="008516B9">
      <w:pPr>
        <w:spacing w:line="360" w:lineRule="auto"/>
        <w:rPr>
          <w:rFonts w:ascii="Arial" w:eastAsia="Calibri" w:hAnsi="Arial" w:cs="Arial"/>
          <w:b/>
        </w:rPr>
      </w:pPr>
      <w:r w:rsidRPr="008516B9">
        <w:rPr>
          <w:rFonts w:ascii="Arial" w:eastAsia="Calibri" w:hAnsi="Arial" w:cs="Arial"/>
          <w:b/>
        </w:rPr>
        <w:t xml:space="preserve">Docente: </w:t>
      </w:r>
      <w:r w:rsidR="00754A64">
        <w:rPr>
          <w:rFonts w:ascii="Arial" w:eastAsia="Calibri" w:hAnsi="Arial" w:cs="Arial"/>
          <w:b/>
        </w:rPr>
        <w:tab/>
      </w:r>
      <w:r w:rsidR="00754A64">
        <w:rPr>
          <w:rFonts w:ascii="Arial" w:eastAsia="Calibri" w:hAnsi="Arial" w:cs="Arial"/>
          <w:b/>
        </w:rPr>
        <w:tab/>
      </w:r>
      <w:r w:rsidRPr="008516B9">
        <w:rPr>
          <w:rFonts w:ascii="Arial" w:eastAsia="Calibri" w:hAnsi="Arial" w:cs="Arial"/>
        </w:rPr>
        <w:t>Walter Jorge Daza Ala</w:t>
      </w:r>
    </w:p>
    <w:p w:rsidR="008516B9" w:rsidRPr="008516B9" w:rsidRDefault="008516B9" w:rsidP="008516B9">
      <w:pPr>
        <w:spacing w:line="360" w:lineRule="auto"/>
        <w:rPr>
          <w:rFonts w:ascii="Arial" w:eastAsia="Calibri" w:hAnsi="Arial" w:cs="Arial"/>
          <w:b/>
        </w:rPr>
      </w:pPr>
      <w:r w:rsidRPr="008516B9">
        <w:rPr>
          <w:rFonts w:ascii="Arial" w:eastAsia="Calibri" w:hAnsi="Arial" w:cs="Arial"/>
          <w:b/>
        </w:rPr>
        <w:t xml:space="preserve">Materia: </w:t>
      </w:r>
      <w:r w:rsidR="00754A64">
        <w:rPr>
          <w:rFonts w:ascii="Arial" w:eastAsia="Calibri" w:hAnsi="Arial" w:cs="Arial"/>
          <w:b/>
        </w:rPr>
        <w:tab/>
      </w:r>
      <w:r w:rsidR="00754A64">
        <w:rPr>
          <w:rFonts w:ascii="Arial" w:eastAsia="Calibri" w:hAnsi="Arial" w:cs="Arial"/>
          <w:b/>
        </w:rPr>
        <w:tab/>
      </w:r>
      <w:r w:rsidRPr="008516B9">
        <w:rPr>
          <w:rFonts w:ascii="Arial" w:eastAsia="Calibri" w:hAnsi="Arial" w:cs="Arial"/>
        </w:rPr>
        <w:t>Medicina Legal</w:t>
      </w:r>
    </w:p>
    <w:p w:rsidR="008516B9" w:rsidRPr="008516B9" w:rsidRDefault="008516B9" w:rsidP="008516B9">
      <w:pPr>
        <w:spacing w:line="360" w:lineRule="auto"/>
        <w:rPr>
          <w:rFonts w:ascii="Arial" w:eastAsia="Calibri" w:hAnsi="Arial" w:cs="Arial"/>
        </w:rPr>
      </w:pPr>
      <w:r w:rsidRPr="008516B9">
        <w:rPr>
          <w:rFonts w:ascii="Arial" w:eastAsia="Calibri" w:hAnsi="Arial" w:cs="Arial"/>
          <w:b/>
        </w:rPr>
        <w:t xml:space="preserve">Turno: </w:t>
      </w:r>
      <w:r w:rsidR="00754A64">
        <w:rPr>
          <w:rFonts w:ascii="Arial" w:eastAsia="Calibri" w:hAnsi="Arial" w:cs="Arial"/>
          <w:b/>
        </w:rPr>
        <w:tab/>
      </w:r>
      <w:r w:rsidR="00754A64">
        <w:rPr>
          <w:rFonts w:ascii="Arial" w:eastAsia="Calibri" w:hAnsi="Arial" w:cs="Arial"/>
          <w:b/>
        </w:rPr>
        <w:tab/>
      </w:r>
      <w:r w:rsidRPr="008516B9">
        <w:rPr>
          <w:rFonts w:ascii="Arial" w:eastAsia="Calibri" w:hAnsi="Arial" w:cs="Arial"/>
        </w:rPr>
        <w:t>Mañana</w:t>
      </w:r>
    </w:p>
    <w:p w:rsidR="008516B9" w:rsidRPr="008516B9" w:rsidRDefault="008516B9" w:rsidP="008516B9">
      <w:pPr>
        <w:spacing w:line="360" w:lineRule="auto"/>
        <w:rPr>
          <w:rFonts w:ascii="Arial" w:eastAsia="Calibri" w:hAnsi="Arial" w:cs="Arial"/>
        </w:rPr>
      </w:pPr>
      <w:r w:rsidRPr="008516B9">
        <w:rPr>
          <w:rFonts w:ascii="Arial" w:eastAsia="Calibri" w:hAnsi="Arial" w:cs="Arial"/>
          <w:b/>
        </w:rPr>
        <w:t xml:space="preserve">Fecha: </w:t>
      </w:r>
      <w:r w:rsidR="00754A64">
        <w:rPr>
          <w:rFonts w:ascii="Arial" w:eastAsia="Calibri" w:hAnsi="Arial" w:cs="Arial"/>
          <w:b/>
        </w:rPr>
        <w:tab/>
      </w:r>
      <w:r w:rsidR="00754A64">
        <w:rPr>
          <w:rFonts w:ascii="Arial" w:eastAsia="Calibri" w:hAnsi="Arial" w:cs="Arial"/>
          <w:b/>
        </w:rPr>
        <w:tab/>
      </w:r>
      <w:r w:rsidR="00754A64">
        <w:rPr>
          <w:rFonts w:ascii="Arial" w:eastAsia="Calibri" w:hAnsi="Arial" w:cs="Arial"/>
        </w:rPr>
        <w:t>16/10/</w:t>
      </w:r>
      <w:r w:rsidRPr="008516B9">
        <w:rPr>
          <w:rFonts w:ascii="Arial" w:eastAsia="Calibri" w:hAnsi="Arial" w:cs="Arial"/>
        </w:rPr>
        <w:t>25</w:t>
      </w:r>
    </w:p>
    <w:p w:rsidR="008516B9" w:rsidRDefault="008516B9" w:rsidP="008516B9">
      <w:pPr>
        <w:jc w:val="center"/>
        <w:rPr>
          <w:rFonts w:ascii="Arial" w:eastAsia="Calibri" w:hAnsi="Arial" w:cs="Arial"/>
          <w:b/>
        </w:rPr>
      </w:pPr>
      <w:r w:rsidRPr="008516B9">
        <w:rPr>
          <w:rFonts w:ascii="Arial" w:eastAsia="Calibri" w:hAnsi="Arial" w:cs="Arial"/>
          <w:b/>
        </w:rPr>
        <w:t>POTOSÍ – BOLIVIA</w:t>
      </w:r>
    </w:p>
    <w:p w:rsidR="008516B9" w:rsidRPr="008516B9" w:rsidRDefault="008516B9" w:rsidP="008516B9">
      <w:pPr>
        <w:jc w:val="center"/>
        <w:rPr>
          <w:rFonts w:ascii="Arial" w:eastAsia="Calibri" w:hAnsi="Arial" w:cs="Arial"/>
          <w:b/>
        </w:rPr>
      </w:pPr>
    </w:p>
    <w:p w:rsidR="008516B9" w:rsidRDefault="008516B9" w:rsidP="00241B87">
      <w:pPr>
        <w:jc w:val="center"/>
        <w:rPr>
          <w:rFonts w:ascii="Arial" w:hAnsi="Arial" w:cs="Arial"/>
          <w:b/>
          <w:bCs/>
        </w:rPr>
      </w:pPr>
    </w:p>
    <w:p w:rsidR="008516B9" w:rsidRDefault="008516B9" w:rsidP="00241B87">
      <w:pPr>
        <w:jc w:val="center"/>
        <w:rPr>
          <w:rFonts w:ascii="Arial" w:hAnsi="Arial" w:cs="Arial"/>
          <w:b/>
          <w:bCs/>
        </w:rPr>
      </w:pPr>
    </w:p>
    <w:p w:rsidR="00AF3EA3" w:rsidRDefault="00AF3EA3" w:rsidP="00754A64">
      <w:pPr>
        <w:spacing w:before="0" w:beforeAutospacing="0" w:after="160" w:afterAutospacing="0" w:line="259" w:lineRule="auto"/>
        <w:rPr>
          <w:rFonts w:ascii="Arial" w:hAnsi="Arial" w:cs="Arial"/>
          <w:b/>
          <w:bCs/>
        </w:rPr>
      </w:pPr>
    </w:p>
    <w:sdt>
      <w:sdtPr>
        <w:rPr>
          <w:lang w:val="es-ES"/>
        </w:rPr>
        <w:id w:val="-782963619"/>
        <w:docPartObj>
          <w:docPartGallery w:val="Table of Contents"/>
          <w:docPartUnique/>
        </w:docPartObj>
      </w:sdtPr>
      <w:sdtEndPr>
        <w:rPr>
          <w:rFonts w:ascii="Calibri" w:eastAsia="Times New Roman" w:hAnsi="Calibri" w:cs="Times New Roman"/>
          <w:bCs/>
          <w:sz w:val="24"/>
          <w:szCs w:val="24"/>
          <w:lang w:eastAsia="es-ES"/>
        </w:rPr>
      </w:sdtEndPr>
      <w:sdtContent>
        <w:p w:rsidR="00C46FE0" w:rsidRDefault="00C46FE0">
          <w:pPr>
            <w:pStyle w:val="TtuloTDC"/>
          </w:pPr>
          <w:r>
            <w:rPr>
              <w:lang w:val="es-ES"/>
            </w:rPr>
            <w:t>Tabla de contenido</w:t>
          </w:r>
          <w:bookmarkStart w:id="0" w:name="_GoBack"/>
          <w:bookmarkEnd w:id="0"/>
        </w:p>
        <w:p w:rsidR="00634BE6" w:rsidRDefault="00C46FE0">
          <w:pPr>
            <w:pStyle w:val="TDC1"/>
            <w:tabs>
              <w:tab w:val="right" w:leader="dot" w:pos="8828"/>
            </w:tabs>
            <w:rPr>
              <w:noProof/>
            </w:rPr>
          </w:pPr>
          <w:r>
            <w:fldChar w:fldCharType="begin"/>
          </w:r>
          <w:r>
            <w:instrText xml:space="preserve"> TOC \o "1-3" \h \z \u </w:instrText>
          </w:r>
          <w:r>
            <w:fldChar w:fldCharType="separate"/>
          </w:r>
          <w:hyperlink w:anchor="_Toc208855718" w:history="1">
            <w:r w:rsidR="00634BE6" w:rsidRPr="00E0109C">
              <w:rPr>
                <w:rStyle w:val="Hipervnculo"/>
                <w:noProof/>
              </w:rPr>
              <w:t>LEVANTAMIENTO DE CADÁVER Y TANATOLOGÍA</w:t>
            </w:r>
            <w:r w:rsidR="00634BE6">
              <w:rPr>
                <w:noProof/>
                <w:webHidden/>
              </w:rPr>
              <w:tab/>
            </w:r>
            <w:r w:rsidR="00634BE6">
              <w:rPr>
                <w:noProof/>
                <w:webHidden/>
              </w:rPr>
              <w:fldChar w:fldCharType="begin"/>
            </w:r>
            <w:r w:rsidR="00634BE6">
              <w:rPr>
                <w:noProof/>
                <w:webHidden/>
              </w:rPr>
              <w:instrText xml:space="preserve"> PAGEREF _Toc208855718 \h </w:instrText>
            </w:r>
            <w:r w:rsidR="00634BE6">
              <w:rPr>
                <w:noProof/>
                <w:webHidden/>
              </w:rPr>
            </w:r>
            <w:r w:rsidR="00634BE6">
              <w:rPr>
                <w:noProof/>
                <w:webHidden/>
              </w:rPr>
              <w:fldChar w:fldCharType="separate"/>
            </w:r>
            <w:r w:rsidR="00634BE6">
              <w:rPr>
                <w:noProof/>
                <w:webHidden/>
              </w:rPr>
              <w:t>3</w:t>
            </w:r>
            <w:r w:rsidR="00634BE6">
              <w:rPr>
                <w:noProof/>
                <w:webHidden/>
              </w:rPr>
              <w:fldChar w:fldCharType="end"/>
            </w:r>
          </w:hyperlink>
        </w:p>
        <w:p w:rsidR="00C46FE0" w:rsidRDefault="00C46FE0">
          <w:r>
            <w:rPr>
              <w:b/>
              <w:bCs/>
            </w:rPr>
            <w:fldChar w:fldCharType="end"/>
          </w:r>
        </w:p>
      </w:sdtContent>
    </w:sdt>
    <w:p w:rsidR="00754A64" w:rsidRDefault="00754A64" w:rsidP="00754A64">
      <w:pPr>
        <w:spacing w:before="0" w:beforeAutospacing="0" w:after="160" w:afterAutospacing="0" w:line="259" w:lineRule="auto"/>
        <w:rPr>
          <w:rFonts w:ascii="Arial" w:hAnsi="Arial" w:cs="Arial"/>
          <w:b/>
          <w:bCs/>
        </w:rPr>
      </w:pPr>
    </w:p>
    <w:p w:rsidR="00AF3EA3" w:rsidRDefault="00AF3EA3">
      <w:pPr>
        <w:spacing w:before="0" w:beforeAutospacing="0" w:after="160" w:afterAutospacing="0" w:line="259" w:lineRule="auto"/>
        <w:rPr>
          <w:rFonts w:ascii="Arial" w:hAnsi="Arial" w:cs="Arial"/>
          <w:b/>
          <w:bCs/>
        </w:rPr>
      </w:pPr>
      <w:r>
        <w:rPr>
          <w:rFonts w:ascii="Arial" w:hAnsi="Arial" w:cs="Arial"/>
          <w:b/>
          <w:bCs/>
        </w:rPr>
        <w:br w:type="page"/>
      </w:r>
    </w:p>
    <w:p w:rsidR="00241B87" w:rsidRPr="008516B9" w:rsidRDefault="00241B87" w:rsidP="00C46FE0">
      <w:pPr>
        <w:pStyle w:val="Ttulo1"/>
        <w:rPr>
          <w:rFonts w:ascii="Algerian" w:eastAsia="Calibri" w:hAnsi="Algerian"/>
        </w:rPr>
      </w:pPr>
      <w:bookmarkStart w:id="1" w:name="_Toc208855718"/>
      <w:r w:rsidRPr="008516B9">
        <w:lastRenderedPageBreak/>
        <w:t>LEVANTAMIENTO DE CADÁVER Y TANATOLOGÍA</w:t>
      </w:r>
      <w:bookmarkEnd w:id="1"/>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Style w:val="15"/>
          <w:rFonts w:ascii="Arial" w:hAnsi="Arial" w:cs="Arial"/>
          <w:color w:val="0F1115"/>
        </w:rPr>
        <w:t>1. Introducción</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color w:val="0F1115"/>
        </w:rPr>
        <w:t xml:space="preserve">El </w:t>
      </w:r>
      <w:r w:rsidRPr="008516B9">
        <w:rPr>
          <w:rStyle w:val="15"/>
          <w:rFonts w:ascii="Arial" w:hAnsi="Arial" w:cs="Arial"/>
          <w:b w:val="0"/>
          <w:color w:val="0F1115"/>
        </w:rPr>
        <w:t>levantamiento de cadáver</w:t>
      </w:r>
      <w:r w:rsidRPr="008516B9">
        <w:rPr>
          <w:rFonts w:ascii="Arial" w:hAnsi="Arial" w:cs="Arial"/>
          <w:color w:val="0F1115"/>
        </w:rPr>
        <w:t xml:space="preserve"> es un acto procesal legal fundamental en la investigación de muertes violentas o sospechosas. Se trata de una diligencia dirigida por el fiscal del caso, en la que intervienen de manera coordinada la policía (para la seguridad y logística) y el médico forense (para la evaluación técnica del cuerpo). Su propósito es examinar, documentar y recoger el cadáver y todas las evidencias asociadas en el lugar de los hechos, garantizando la cadena de custodia y preservando la verdad material para la posterior investigación judicial.</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color w:val="0F1115"/>
        </w:rPr>
        <w:t xml:space="preserve">Por su parte, la </w:t>
      </w:r>
      <w:r w:rsidRPr="008516B9">
        <w:rPr>
          <w:rStyle w:val="15"/>
          <w:rFonts w:ascii="Arial" w:hAnsi="Arial" w:cs="Arial"/>
          <w:b w:val="0"/>
          <w:color w:val="0F1115"/>
        </w:rPr>
        <w:t>tanatología</w:t>
      </w:r>
      <w:r w:rsidRPr="008516B9">
        <w:rPr>
          <w:rFonts w:ascii="Arial" w:hAnsi="Arial" w:cs="Arial"/>
          <w:color w:val="0F1115"/>
        </w:rPr>
        <w:t xml:space="preserve"> es la rama de la medicina legal que se encarga del estudio científico de la muerte. Su campo de acción abarca la determinación de la causa de muerte, el mecanismo que la produjo, la data de muerte (cuándo ocurrió) y el análisis de todos los fenómenos cadavéricos que suceden en el cuerpo a partir del fallecimiento (enfriamiento, livideces, rigidez, descomposición, etc.). Su aplicación es crucial para reconstruir los hechos.</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color w:val="0F1115"/>
        </w:rPr>
        <w:t xml:space="preserve">El </w:t>
      </w:r>
      <w:r w:rsidRPr="008516B9">
        <w:rPr>
          <w:rStyle w:val="15"/>
          <w:rFonts w:ascii="Arial" w:hAnsi="Arial" w:cs="Arial"/>
          <w:b w:val="0"/>
          <w:color w:val="0F1115"/>
        </w:rPr>
        <w:t>objetivo del presente informe</w:t>
      </w:r>
      <w:r w:rsidRPr="008516B9">
        <w:rPr>
          <w:rFonts w:ascii="Arial" w:hAnsi="Arial" w:cs="Arial"/>
          <w:color w:val="0F1115"/>
        </w:rPr>
        <w:t xml:space="preserve"> es dual: primero, describir y analizar el estricto procedimiento legal que rige el levantamiento de un cadáver, tomando como base el marco normativo boliviano; y segundo, explicar mediante un caso simulado cómo los principios y conocimientos de la tanatología forense se aplican de manera práctica durante esta diligencia para auxiliar a la administración de justicia.</w:t>
      </w:r>
    </w:p>
    <w:p w:rsidR="00241B87" w:rsidRPr="008516B9" w:rsidRDefault="00241B87" w:rsidP="008516B9">
      <w:pPr>
        <w:pStyle w:val="ds-markdown-paragraph"/>
        <w:shd w:val="clear" w:color="auto" w:fill="FFFFFF"/>
        <w:spacing w:line="360" w:lineRule="auto"/>
        <w:jc w:val="both"/>
        <w:rPr>
          <w:rFonts w:ascii="Arial" w:hAnsi="Arial" w:cs="Arial"/>
          <w:b/>
          <w:bCs/>
          <w:color w:val="0F1115"/>
        </w:rPr>
      </w:pPr>
      <w:r w:rsidRPr="008516B9">
        <w:rPr>
          <w:rFonts w:ascii="Arial" w:hAnsi="Arial" w:cs="Arial"/>
          <w:b/>
          <w:bCs/>
          <w:color w:val="0F1115"/>
        </w:rPr>
        <w:t>2. Marco Jurídico</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color w:val="0F1115"/>
        </w:rPr>
        <w:t>El levantamiento de un cadáver en Bolivia se rige por normas jurídicas y técnicas que garantizan el respeto a los derechos fundamentales y la correcta investigación de los hechos.</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color w:val="0F1115"/>
        </w:rPr>
        <w:t xml:space="preserve"> La </w:t>
      </w:r>
      <w:r w:rsidRPr="008516B9">
        <w:rPr>
          <w:rFonts w:ascii="Arial" w:hAnsi="Arial" w:cs="Arial"/>
          <w:bCs/>
          <w:color w:val="0F1115"/>
        </w:rPr>
        <w:t>Constitución Política del Estado (CPE, 2009)</w:t>
      </w:r>
      <w:r w:rsidRPr="008516B9">
        <w:rPr>
          <w:rFonts w:ascii="Arial" w:hAnsi="Arial" w:cs="Arial"/>
          <w:color w:val="0F1115"/>
        </w:rPr>
        <w:t xml:space="preserve"> establece el derecho a la vida (art. 15) y la obligación del Estado de proteger la integridad de las personas.</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color w:val="0F1115"/>
        </w:rPr>
        <w:t xml:space="preserve">De manera complementaria, la </w:t>
      </w:r>
      <w:r w:rsidRPr="008516B9">
        <w:rPr>
          <w:rFonts w:ascii="Arial" w:hAnsi="Arial" w:cs="Arial"/>
          <w:bCs/>
          <w:color w:val="0F1115"/>
        </w:rPr>
        <w:t>Resolución Conjunta de la Fiscalía General de la República y el Comando General de la Policía Nacional No. 001/2007</w:t>
      </w:r>
      <w:r w:rsidRPr="008516B9">
        <w:rPr>
          <w:rFonts w:ascii="Arial" w:hAnsi="Arial" w:cs="Arial"/>
          <w:color w:val="0F1115"/>
        </w:rPr>
        <w:t xml:space="preserve">, que aprueba el </w:t>
      </w:r>
      <w:r w:rsidRPr="008516B9">
        <w:rPr>
          <w:rFonts w:ascii="Arial" w:hAnsi="Arial" w:cs="Arial"/>
          <w:iCs/>
          <w:color w:val="0F1115"/>
        </w:rPr>
        <w:t>Manual Básico para Fiscales y Policías</w:t>
      </w:r>
      <w:r w:rsidRPr="008516B9">
        <w:rPr>
          <w:rFonts w:ascii="Arial" w:hAnsi="Arial" w:cs="Arial"/>
          <w:color w:val="0F1115"/>
        </w:rPr>
        <w:t>, regula los procedimientos prácticos para la actuación en la escena del hecho, incluyendo la protección del lugar, la observación minuciosa y el levantamiento del cadáver (Form.04).</w:t>
      </w:r>
    </w:p>
    <w:p w:rsidR="00241B87" w:rsidRPr="008516B9" w:rsidRDefault="004B07E5" w:rsidP="008516B9">
      <w:pPr>
        <w:pStyle w:val="ds-markdown-paragraph"/>
        <w:shd w:val="clear" w:color="auto" w:fill="FFFFFF"/>
        <w:spacing w:line="360" w:lineRule="auto"/>
        <w:jc w:val="both"/>
        <w:rPr>
          <w:rFonts w:ascii="Arial" w:hAnsi="Arial" w:cs="Arial"/>
          <w:color w:val="0F1115"/>
        </w:rPr>
      </w:pPr>
      <w:r w:rsidRPr="008516B9">
        <w:rPr>
          <w:rFonts w:ascii="Arial" w:hAnsi="Arial" w:cs="Arial"/>
          <w:b/>
          <w:bCs/>
          <w:color w:val="0F1115"/>
        </w:rPr>
        <w:t>2.1. Código</w:t>
      </w:r>
      <w:r w:rsidR="00241B87" w:rsidRPr="008516B9">
        <w:rPr>
          <w:rFonts w:ascii="Arial" w:hAnsi="Arial" w:cs="Arial"/>
          <w:b/>
          <w:bCs/>
          <w:color w:val="0F1115"/>
        </w:rPr>
        <w:t xml:space="preserve"> de Procedimiento Penal (Ley Nº 1970)</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bCs/>
          <w:color w:val="0F1115"/>
        </w:rPr>
        <w:t>Artículo 174. Presencia de autoridad y coordinación en la diligencia:</w:t>
      </w:r>
      <w:r w:rsidR="004B07E5" w:rsidRPr="008516B9">
        <w:rPr>
          <w:rFonts w:ascii="Arial" w:hAnsi="Arial" w:cs="Arial"/>
          <w:color w:val="0F1115"/>
        </w:rPr>
        <w:cr/>
      </w:r>
      <w:r w:rsidRPr="008516B9">
        <w:rPr>
          <w:rFonts w:ascii="Arial" w:hAnsi="Arial" w:cs="Arial"/>
          <w:color w:val="0F1115"/>
        </w:rPr>
        <w:t xml:space="preserve">Toda diligencia de inspección y levantamiento de cadáver debe realizarse bajo la </w:t>
      </w:r>
      <w:r w:rsidRPr="008516B9">
        <w:rPr>
          <w:rFonts w:ascii="Arial" w:hAnsi="Arial" w:cs="Arial"/>
          <w:bCs/>
          <w:color w:val="0F1115"/>
        </w:rPr>
        <w:t>supervisión del Fiscal de turno</w:t>
      </w:r>
      <w:r w:rsidRPr="008516B9">
        <w:rPr>
          <w:rFonts w:ascii="Arial" w:hAnsi="Arial" w:cs="Arial"/>
          <w:color w:val="0F1115"/>
        </w:rPr>
        <w:t xml:space="preserve">, asegurando que la Policía y los peritos actúen </w:t>
      </w:r>
      <w:r w:rsidRPr="008516B9">
        <w:rPr>
          <w:rFonts w:ascii="Arial" w:hAnsi="Arial" w:cs="Arial"/>
          <w:color w:val="0F1115"/>
        </w:rPr>
        <w:lastRenderedPageBreak/>
        <w:t xml:space="preserve">coordinadamente. La Policía debe proteger la escena, impedir el acceso de personas no autorizadas y cooperar en la </w:t>
      </w:r>
      <w:r w:rsidRPr="008516B9">
        <w:rPr>
          <w:rFonts w:ascii="Arial" w:hAnsi="Arial" w:cs="Arial"/>
          <w:b/>
          <w:bCs/>
          <w:color w:val="0F1115"/>
        </w:rPr>
        <w:t>preservación de indicios</w:t>
      </w:r>
      <w:r w:rsidRPr="008516B9">
        <w:rPr>
          <w:rFonts w:ascii="Arial" w:hAnsi="Arial" w:cs="Arial"/>
          <w:color w:val="0F1115"/>
        </w:rPr>
        <w:t xml:space="preserve"> y recolección de información.</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bCs/>
          <w:color w:val="0F1115"/>
        </w:rPr>
        <w:t>Artículo 177. Levantamiento e identificación de cadáveres:</w:t>
      </w:r>
      <w:r w:rsidR="004B07E5" w:rsidRPr="008516B9">
        <w:rPr>
          <w:rFonts w:ascii="Arial" w:hAnsi="Arial" w:cs="Arial"/>
          <w:color w:val="0F1115"/>
        </w:rPr>
        <w:cr/>
      </w:r>
      <w:r w:rsidRPr="008516B9">
        <w:rPr>
          <w:rFonts w:ascii="Arial" w:hAnsi="Arial" w:cs="Arial"/>
          <w:color w:val="0F1115"/>
        </w:rPr>
        <w:t xml:space="preserve">La Policía tiene la obligación de realizar la </w:t>
      </w:r>
      <w:r w:rsidRPr="008516B9">
        <w:rPr>
          <w:rFonts w:ascii="Arial" w:hAnsi="Arial" w:cs="Arial"/>
          <w:bCs/>
          <w:color w:val="0F1115"/>
        </w:rPr>
        <w:t>inspección corporal preliminar del cadáver</w:t>
      </w:r>
      <w:r w:rsidRPr="008516B9">
        <w:rPr>
          <w:rFonts w:ascii="Arial" w:hAnsi="Arial" w:cs="Arial"/>
          <w:color w:val="0F1115"/>
        </w:rPr>
        <w:t xml:space="preserve">, describiendo su posición, estado y lesiones visibles, procediendo luego a su levantamiento y traslado al gabinete forense para la autopsia correspondiente. La diligencia se realiza bajo </w:t>
      </w:r>
      <w:r w:rsidRPr="008516B9">
        <w:rPr>
          <w:rFonts w:ascii="Arial" w:hAnsi="Arial" w:cs="Arial"/>
          <w:bCs/>
          <w:color w:val="0F1115"/>
        </w:rPr>
        <w:t>dirección funcional del Fiscal</w:t>
      </w:r>
      <w:r w:rsidRPr="008516B9">
        <w:rPr>
          <w:rFonts w:ascii="Arial" w:hAnsi="Arial" w:cs="Arial"/>
          <w:color w:val="0F1115"/>
        </w:rPr>
        <w:t>, quien coordina y autoriza las actuaciones.</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bCs/>
          <w:color w:val="0F1115"/>
        </w:rPr>
        <w:t>Artículo 178. Procedimiento de levantamiento del cadáver:</w:t>
      </w:r>
      <w:r w:rsidR="004B07E5" w:rsidRPr="008516B9">
        <w:rPr>
          <w:rFonts w:ascii="Arial" w:hAnsi="Arial" w:cs="Arial"/>
          <w:color w:val="0F1115"/>
        </w:rPr>
        <w:cr/>
      </w:r>
      <w:r w:rsidRPr="008516B9">
        <w:rPr>
          <w:rFonts w:ascii="Arial" w:hAnsi="Arial" w:cs="Arial"/>
          <w:color w:val="0F1115"/>
        </w:rPr>
        <w:t xml:space="preserve">Una vez realizada la inspección preliminar y fijados los indicios, la Policía procederá al </w:t>
      </w:r>
      <w:r w:rsidRPr="008516B9">
        <w:rPr>
          <w:rFonts w:ascii="Arial" w:hAnsi="Arial" w:cs="Arial"/>
          <w:bCs/>
          <w:color w:val="0F1115"/>
        </w:rPr>
        <w:t>levantamiento físico del cadáver</w:t>
      </w:r>
      <w:r w:rsidRPr="008516B9">
        <w:rPr>
          <w:rFonts w:ascii="Arial" w:hAnsi="Arial" w:cs="Arial"/>
          <w:color w:val="0F1115"/>
        </w:rPr>
        <w:t xml:space="preserve">, embalaje y traslado al gabinete forense, siguiendo las instrucciones del Fiscal de turno. Se registra en </w:t>
      </w:r>
      <w:r w:rsidRPr="008516B9">
        <w:rPr>
          <w:rFonts w:ascii="Arial" w:hAnsi="Arial" w:cs="Arial"/>
          <w:bCs/>
          <w:color w:val="0F1115"/>
        </w:rPr>
        <w:t>acta oficial</w:t>
      </w:r>
      <w:r w:rsidRPr="008516B9">
        <w:rPr>
          <w:rFonts w:ascii="Arial" w:hAnsi="Arial" w:cs="Arial"/>
          <w:color w:val="0F1115"/>
        </w:rPr>
        <w:t xml:space="preserve"> toda la diligencia, incluyendo posición del cadáver, lesiones observadas, indicios recolectados y responsables de cada acción, garantizando la </w:t>
      </w:r>
      <w:r w:rsidRPr="008516B9">
        <w:rPr>
          <w:rFonts w:ascii="Arial" w:hAnsi="Arial" w:cs="Arial"/>
          <w:bCs/>
          <w:color w:val="0F1115"/>
        </w:rPr>
        <w:t>cadena de custodia</w:t>
      </w:r>
      <w:r w:rsidRPr="008516B9">
        <w:rPr>
          <w:rFonts w:ascii="Arial" w:hAnsi="Arial" w:cs="Arial"/>
          <w:color w:val="0F1115"/>
        </w:rPr>
        <w:t xml:space="preserve"> y la integridad del cuerpo para la </w:t>
      </w:r>
      <w:r w:rsidR="004B07E5" w:rsidRPr="008516B9">
        <w:rPr>
          <w:rFonts w:ascii="Arial" w:hAnsi="Arial" w:cs="Arial"/>
          <w:color w:val="0F1115"/>
        </w:rPr>
        <w:t>autopsia</w:t>
      </w:r>
      <w:r w:rsidRPr="008516B9">
        <w:rPr>
          <w:rFonts w:ascii="Arial" w:hAnsi="Arial" w:cs="Arial"/>
          <w:color w:val="0F1115"/>
        </w:rPr>
        <w:t xml:space="preserve"> y peritajes posteriores.</w:t>
      </w:r>
    </w:p>
    <w:p w:rsidR="00241B87" w:rsidRPr="008516B9" w:rsidRDefault="004B07E5" w:rsidP="008516B9">
      <w:pPr>
        <w:pStyle w:val="ds-markdown-paragraph"/>
        <w:shd w:val="clear" w:color="auto" w:fill="FFFFFF"/>
        <w:spacing w:line="360" w:lineRule="auto"/>
        <w:jc w:val="both"/>
        <w:rPr>
          <w:rFonts w:ascii="Arial" w:hAnsi="Arial" w:cs="Arial"/>
          <w:b/>
          <w:color w:val="0F1115"/>
          <w:lang w:val="es-BO"/>
        </w:rPr>
      </w:pPr>
      <w:r w:rsidRPr="008516B9">
        <w:rPr>
          <w:rFonts w:ascii="Arial" w:hAnsi="Arial" w:cs="Arial"/>
          <w:b/>
          <w:color w:val="0F1115"/>
          <w:lang w:val="es-BO"/>
        </w:rPr>
        <w:t>2.2</w:t>
      </w:r>
      <w:r w:rsidR="00241B87" w:rsidRPr="008516B9">
        <w:rPr>
          <w:rFonts w:ascii="Arial" w:hAnsi="Arial" w:cs="Arial"/>
          <w:b/>
          <w:color w:val="0F1115"/>
          <w:lang w:val="es-BO"/>
        </w:rPr>
        <w:t>. Ley Orgánica del Ministerio Público (LEY 260)</w:t>
      </w:r>
    </w:p>
    <w:p w:rsidR="00241B87" w:rsidRPr="008516B9" w:rsidRDefault="00241B87" w:rsidP="008516B9">
      <w:pPr>
        <w:pStyle w:val="ds-markdown-paragraph"/>
        <w:shd w:val="clear" w:color="auto" w:fill="FFFFFF"/>
        <w:spacing w:line="360" w:lineRule="auto"/>
        <w:rPr>
          <w:rFonts w:ascii="Arial" w:hAnsi="Arial" w:cs="Arial"/>
          <w:color w:val="0F1115"/>
        </w:rPr>
      </w:pPr>
      <w:r w:rsidRPr="008516B9">
        <w:rPr>
          <w:rFonts w:ascii="Arial" w:hAnsi="Arial" w:cs="Arial"/>
          <w:bCs/>
          <w:color w:val="0F1115"/>
        </w:rPr>
        <w:t>Artículo 83° (Finalidad):</w:t>
      </w:r>
      <w:r w:rsidR="004B07E5" w:rsidRPr="008516B9">
        <w:rPr>
          <w:rFonts w:ascii="Arial" w:hAnsi="Arial" w:cs="Arial"/>
          <w:color w:val="0F1115"/>
        </w:rPr>
        <w:cr/>
      </w:r>
      <w:r w:rsidRPr="008516B9">
        <w:rPr>
          <w:rFonts w:ascii="Arial" w:hAnsi="Arial" w:cs="Arial"/>
          <w:color w:val="0F1115"/>
        </w:rPr>
        <w:t xml:space="preserve">Establece que el IDIF es la institución encargada de realizar estudios científicos y técnicos para la investigación de delitos. Aquí entran la </w:t>
      </w:r>
      <w:r w:rsidRPr="008516B9">
        <w:rPr>
          <w:rFonts w:ascii="Arial" w:hAnsi="Arial" w:cs="Arial"/>
          <w:bCs/>
          <w:color w:val="0F1115"/>
        </w:rPr>
        <w:t>autopsia médico–legal</w:t>
      </w:r>
      <w:r w:rsidRPr="008516B9">
        <w:rPr>
          <w:rFonts w:ascii="Arial" w:hAnsi="Arial" w:cs="Arial"/>
          <w:color w:val="0F1115"/>
        </w:rPr>
        <w:t xml:space="preserve"> y los estudios tanatológicos.</w:t>
      </w:r>
    </w:p>
    <w:p w:rsidR="00241B87" w:rsidRPr="008516B9" w:rsidRDefault="00241B87" w:rsidP="008516B9">
      <w:pPr>
        <w:pStyle w:val="ds-markdown-paragraph"/>
        <w:shd w:val="clear" w:color="auto" w:fill="FFFFFF"/>
        <w:spacing w:line="360" w:lineRule="auto"/>
        <w:rPr>
          <w:rFonts w:ascii="Arial" w:hAnsi="Arial" w:cs="Arial"/>
          <w:color w:val="0F1115"/>
        </w:rPr>
      </w:pPr>
      <w:r w:rsidRPr="008516B9">
        <w:rPr>
          <w:rFonts w:ascii="Arial" w:hAnsi="Arial" w:cs="Arial"/>
          <w:color w:val="0F1115"/>
        </w:rPr>
        <w:t>Sustenta que el IDIF es la autoridad competente para realizar pericias forenses en levantamiento de cadáveres.</w:t>
      </w:r>
    </w:p>
    <w:p w:rsidR="00241B87" w:rsidRPr="008516B9" w:rsidRDefault="00241B87" w:rsidP="008516B9">
      <w:pPr>
        <w:pStyle w:val="ds-markdown-paragraph"/>
        <w:shd w:val="clear" w:color="auto" w:fill="FFFFFF"/>
        <w:spacing w:line="360" w:lineRule="auto"/>
        <w:rPr>
          <w:rFonts w:ascii="Arial" w:hAnsi="Arial" w:cs="Arial"/>
          <w:color w:val="0F1115"/>
        </w:rPr>
      </w:pPr>
      <w:r w:rsidRPr="008516B9">
        <w:rPr>
          <w:rFonts w:ascii="Arial" w:hAnsi="Arial" w:cs="Arial"/>
          <w:bCs/>
          <w:color w:val="0F1115"/>
        </w:rPr>
        <w:t>Artículo 85° (Funciones):</w:t>
      </w:r>
      <w:r w:rsidR="004B07E5" w:rsidRPr="008516B9">
        <w:rPr>
          <w:rFonts w:ascii="Arial" w:hAnsi="Arial" w:cs="Arial"/>
          <w:color w:val="0F1115"/>
        </w:rPr>
        <w:cr/>
      </w:r>
      <w:r w:rsidRPr="008516B9">
        <w:rPr>
          <w:rFonts w:ascii="Arial" w:hAnsi="Arial" w:cs="Arial"/>
          <w:color w:val="0F1115"/>
        </w:rPr>
        <w:t>Señala que el IDIF debe practicar pericias, análisis y exámenes forenses, asegurar la cadena de custodia y colaborar con la investigación criminal.</w:t>
      </w:r>
      <w:r w:rsidR="004B07E5" w:rsidRPr="008516B9">
        <w:rPr>
          <w:rFonts w:ascii="Arial" w:hAnsi="Arial" w:cs="Arial"/>
          <w:color w:val="0F1115"/>
        </w:rPr>
        <w:cr/>
      </w:r>
      <w:r w:rsidRPr="008516B9">
        <w:rPr>
          <w:rFonts w:ascii="Arial" w:hAnsi="Arial" w:cs="Arial"/>
          <w:bCs/>
          <w:color w:val="0F1115"/>
        </w:rPr>
        <w:t>R</w:t>
      </w:r>
      <w:r w:rsidRPr="008516B9">
        <w:rPr>
          <w:rFonts w:ascii="Arial" w:hAnsi="Arial" w:cs="Arial"/>
          <w:color w:val="0F1115"/>
        </w:rPr>
        <w:t xml:space="preserve">egula expresamente la </w:t>
      </w:r>
      <w:r w:rsidRPr="008516B9">
        <w:rPr>
          <w:rFonts w:ascii="Arial" w:hAnsi="Arial" w:cs="Arial"/>
          <w:bCs/>
          <w:color w:val="0F1115"/>
        </w:rPr>
        <w:t>autopsia, estudios tanatológicos, pericias y cadena de custodia</w:t>
      </w:r>
      <w:r w:rsidRPr="008516B9">
        <w:rPr>
          <w:rFonts w:ascii="Arial" w:hAnsi="Arial" w:cs="Arial"/>
          <w:color w:val="0F1115"/>
        </w:rPr>
        <w:t>, esenciales en tu tema.</w:t>
      </w:r>
    </w:p>
    <w:p w:rsidR="00241B87" w:rsidRPr="008516B9" w:rsidRDefault="00241B87" w:rsidP="008516B9">
      <w:pPr>
        <w:pStyle w:val="ds-markdown-paragraph"/>
        <w:shd w:val="clear" w:color="auto" w:fill="FFFFFF"/>
        <w:spacing w:line="360" w:lineRule="auto"/>
        <w:rPr>
          <w:rFonts w:ascii="Arial" w:hAnsi="Arial" w:cs="Arial"/>
          <w:color w:val="0F1115"/>
        </w:rPr>
      </w:pPr>
      <w:r w:rsidRPr="008516B9">
        <w:rPr>
          <w:rFonts w:ascii="Arial" w:hAnsi="Arial" w:cs="Arial"/>
          <w:bCs/>
          <w:color w:val="0F1115"/>
        </w:rPr>
        <w:t>Artículo 87° (Responsabilidad):</w:t>
      </w:r>
      <w:r w:rsidR="004B07E5" w:rsidRPr="008516B9">
        <w:rPr>
          <w:rFonts w:ascii="Arial" w:hAnsi="Arial" w:cs="Arial"/>
          <w:color w:val="0F1115"/>
        </w:rPr>
        <w:cr/>
      </w:r>
      <w:r w:rsidRPr="008516B9">
        <w:rPr>
          <w:rFonts w:ascii="Arial" w:hAnsi="Arial" w:cs="Arial"/>
          <w:color w:val="0F1115"/>
        </w:rPr>
        <w:t xml:space="preserve">Indica que los peritos y servidores del IDIF responden penal, civil y administrativamente por mal desempeño. </w:t>
      </w:r>
      <w:r w:rsidRPr="008516B9">
        <w:rPr>
          <w:rFonts w:ascii="Arial" w:hAnsi="Arial" w:cs="Arial"/>
          <w:bCs/>
          <w:color w:val="0F1115"/>
        </w:rPr>
        <w:t>Relevancia directa:</w:t>
      </w:r>
      <w:r w:rsidRPr="008516B9">
        <w:rPr>
          <w:rFonts w:ascii="Arial" w:hAnsi="Arial" w:cs="Arial"/>
          <w:color w:val="0F1115"/>
        </w:rPr>
        <w:t xml:space="preserve"> refuerza la seriedad y responsabilidad de quienes participan en levantamiento y tanatología.</w:t>
      </w:r>
    </w:p>
    <w:p w:rsidR="00241B87" w:rsidRPr="008516B9" w:rsidRDefault="004B07E5" w:rsidP="008516B9">
      <w:pPr>
        <w:pStyle w:val="ds-markdown-paragraph"/>
        <w:shd w:val="clear" w:color="auto" w:fill="FFFFFF"/>
        <w:spacing w:line="360" w:lineRule="auto"/>
        <w:jc w:val="both"/>
        <w:rPr>
          <w:rFonts w:ascii="Arial" w:hAnsi="Arial" w:cs="Arial"/>
          <w:b/>
          <w:bCs/>
          <w:color w:val="0F1115"/>
        </w:rPr>
      </w:pPr>
      <w:r w:rsidRPr="008516B9">
        <w:rPr>
          <w:rFonts w:ascii="Arial" w:hAnsi="Arial" w:cs="Arial"/>
          <w:b/>
          <w:bCs/>
          <w:color w:val="0F1115"/>
        </w:rPr>
        <w:t>2.3</w:t>
      </w:r>
      <w:r w:rsidR="00241B87" w:rsidRPr="008516B9">
        <w:rPr>
          <w:rFonts w:ascii="Arial" w:hAnsi="Arial" w:cs="Arial"/>
          <w:b/>
          <w:bCs/>
          <w:color w:val="0F1115"/>
        </w:rPr>
        <w:t>. Manual de Actuaciones Investigativas de Fiscales, Policías y Peritos (MAIFPP)</w:t>
      </w:r>
    </w:p>
    <w:p w:rsidR="00241B87" w:rsidRPr="008516B9" w:rsidRDefault="00241B87" w:rsidP="008516B9">
      <w:pPr>
        <w:pStyle w:val="ds-markdown-paragraph"/>
        <w:shd w:val="clear" w:color="auto" w:fill="FFFFFF"/>
        <w:spacing w:line="360" w:lineRule="auto"/>
        <w:jc w:val="both"/>
        <w:rPr>
          <w:rFonts w:ascii="Arial" w:hAnsi="Arial" w:cs="Arial"/>
          <w:color w:val="0F1115"/>
        </w:rPr>
      </w:pPr>
      <w:r w:rsidRPr="008516B9">
        <w:rPr>
          <w:rFonts w:ascii="Arial" w:hAnsi="Arial" w:cs="Arial"/>
          <w:bCs/>
          <w:color w:val="0F1115"/>
        </w:rPr>
        <w:t>Artículo 174. Cooperación interinstitucional:</w:t>
      </w:r>
      <w:r w:rsidR="004B07E5" w:rsidRPr="008516B9">
        <w:rPr>
          <w:rFonts w:ascii="Arial" w:hAnsi="Arial" w:cs="Arial"/>
          <w:color w:val="0F1115"/>
        </w:rPr>
        <w:cr/>
      </w:r>
      <w:r w:rsidRPr="008516B9">
        <w:rPr>
          <w:rFonts w:ascii="Arial" w:hAnsi="Arial" w:cs="Arial"/>
          <w:color w:val="0F1115"/>
        </w:rPr>
        <w:t xml:space="preserve">Dispone que el Fiscal y la Policía deben cooperar de manera conjunta en las </w:t>
      </w:r>
      <w:r w:rsidRPr="008516B9">
        <w:rPr>
          <w:rFonts w:ascii="Arial" w:hAnsi="Arial" w:cs="Arial"/>
          <w:color w:val="0F1115"/>
        </w:rPr>
        <w:lastRenderedPageBreak/>
        <w:t>diligencias, detallando los mecanismos de trabajo coordinado en la escena del hecho, incluida la preservación del lugar, la fijación fotográfica y el levantamiento del cadáver.</w:t>
      </w:r>
    </w:p>
    <w:p w:rsidR="004B07E5" w:rsidRPr="008516B9" w:rsidRDefault="004B07E5" w:rsidP="008516B9">
      <w:pPr>
        <w:spacing w:line="360" w:lineRule="auto"/>
        <w:rPr>
          <w:rFonts w:ascii="Arial" w:hAnsi="Arial" w:cs="Arial"/>
          <w:b/>
          <w:bCs/>
        </w:rPr>
      </w:pPr>
      <w:r w:rsidRPr="008516B9">
        <w:rPr>
          <w:rFonts w:ascii="Arial" w:hAnsi="Arial" w:cs="Arial"/>
          <w:b/>
          <w:bCs/>
        </w:rPr>
        <w:t>3. Procedimiento del levantamiento de cadáver</w:t>
      </w:r>
    </w:p>
    <w:p w:rsidR="004B07E5" w:rsidRPr="008516B9" w:rsidRDefault="004B07E5" w:rsidP="008516B9">
      <w:pPr>
        <w:spacing w:line="360" w:lineRule="auto"/>
        <w:rPr>
          <w:rFonts w:ascii="Arial" w:hAnsi="Arial" w:cs="Arial"/>
        </w:rPr>
      </w:pPr>
      <w:r w:rsidRPr="008516B9">
        <w:rPr>
          <w:rFonts w:ascii="Arial" w:hAnsi="Arial" w:cs="Arial"/>
        </w:rPr>
        <w:t>Cuando la Policía comunica una intervención preventiva, el Fiscal debe constituirse en el lugar del hecho, dirigir la investigación y firmar el acta correspondiente junto al testigo de actuaciones. El registro del lugar es realizado únicamente por especialistas y técnicos, mientras que los fiscales y otras autoridades deben permanecer fuera del área preservada.</w:t>
      </w:r>
    </w:p>
    <w:p w:rsidR="004B07E5" w:rsidRPr="008516B9" w:rsidRDefault="004B07E5" w:rsidP="008516B9">
      <w:pPr>
        <w:spacing w:line="360" w:lineRule="auto"/>
        <w:rPr>
          <w:rFonts w:ascii="Arial" w:hAnsi="Arial" w:cs="Arial"/>
        </w:rPr>
      </w:pPr>
      <w:r w:rsidRPr="008516B9">
        <w:rPr>
          <w:rFonts w:ascii="Arial" w:hAnsi="Arial" w:cs="Arial"/>
        </w:rPr>
        <w:t>Excepcionalmente, se puede proceder sin la presencia del Fiscal en casos de urgencia, siempre que se especifique la causal que justifica la omisión.</w:t>
      </w:r>
    </w:p>
    <w:p w:rsidR="004B07E5" w:rsidRPr="008516B9" w:rsidRDefault="004B07E5" w:rsidP="008516B9">
      <w:pPr>
        <w:spacing w:line="360" w:lineRule="auto"/>
        <w:rPr>
          <w:rFonts w:ascii="Arial" w:hAnsi="Arial" w:cs="Arial"/>
        </w:rPr>
      </w:pPr>
      <w:r w:rsidRPr="008516B9">
        <w:rPr>
          <w:rFonts w:ascii="Arial" w:hAnsi="Arial" w:cs="Arial"/>
        </w:rPr>
        <w:t>Las acciones del procedimiento comprenden:</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Auxilio de víctimas o verificación de la muerte.</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Observación y descripción del lugar.</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Protección y acordonamiento con cintas, vallas o cuerdas.</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Búsqueda y recolección de indicios.</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 xml:space="preserve">Fijación verbal, fotográfica, </w:t>
      </w:r>
      <w:proofErr w:type="spellStart"/>
      <w:r w:rsidRPr="008516B9">
        <w:rPr>
          <w:rFonts w:ascii="Arial" w:hAnsi="Arial" w:cs="Arial"/>
        </w:rPr>
        <w:t>planimétrica</w:t>
      </w:r>
      <w:proofErr w:type="spellEnd"/>
      <w:r w:rsidRPr="008516B9">
        <w:rPr>
          <w:rFonts w:ascii="Arial" w:hAnsi="Arial" w:cs="Arial"/>
        </w:rPr>
        <w:t xml:space="preserve"> y en vídeo.</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Separación y entrevistas preliminares a testigos.</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Rastreo para salvar omisiones.</w:t>
      </w:r>
    </w:p>
    <w:p w:rsidR="004B07E5" w:rsidRPr="008516B9" w:rsidRDefault="004B07E5" w:rsidP="008516B9">
      <w:pPr>
        <w:numPr>
          <w:ilvl w:val="0"/>
          <w:numId w:val="5"/>
        </w:numPr>
        <w:tabs>
          <w:tab w:val="clear" w:pos="0"/>
          <w:tab w:val="clear" w:pos="540"/>
        </w:tabs>
        <w:spacing w:line="360" w:lineRule="auto"/>
        <w:rPr>
          <w:rFonts w:ascii="Arial" w:hAnsi="Arial" w:cs="Arial"/>
        </w:rPr>
      </w:pPr>
      <w:r w:rsidRPr="008516B9">
        <w:rPr>
          <w:rFonts w:ascii="Arial" w:hAnsi="Arial" w:cs="Arial"/>
        </w:rPr>
        <w:t>Aseguramiento o precintado del lugar.</w:t>
      </w:r>
    </w:p>
    <w:p w:rsidR="004B07E5" w:rsidRPr="008516B9" w:rsidRDefault="004B07E5" w:rsidP="008516B9">
      <w:pPr>
        <w:spacing w:line="360" w:lineRule="auto"/>
        <w:rPr>
          <w:rFonts w:ascii="Arial" w:hAnsi="Arial" w:cs="Arial"/>
        </w:rPr>
      </w:pPr>
      <w:r w:rsidRPr="008516B9">
        <w:rPr>
          <w:rFonts w:ascii="Arial" w:hAnsi="Arial" w:cs="Arial"/>
        </w:rPr>
        <w:t>La secuencia de estas acciones dependerá del tipo de caso, las circunstancias y condiciones del hecho. Una vez concluido el registro, se analizan los resultados como insumo para la estrategia de investigación.</w:t>
      </w:r>
    </w:p>
    <w:p w:rsidR="004B07E5" w:rsidRPr="008516B9" w:rsidRDefault="004B07E5" w:rsidP="008516B9">
      <w:pPr>
        <w:spacing w:line="360" w:lineRule="auto"/>
        <w:rPr>
          <w:rFonts w:ascii="Arial" w:hAnsi="Arial" w:cs="Arial"/>
        </w:rPr>
      </w:pPr>
      <w:r w:rsidRPr="008516B9">
        <w:rPr>
          <w:rFonts w:ascii="Arial" w:hAnsi="Arial" w:cs="Arial"/>
        </w:rPr>
        <w:t>Casos de aplicación frecuente:</w:t>
      </w:r>
    </w:p>
    <w:p w:rsidR="004B07E5" w:rsidRPr="008516B9" w:rsidRDefault="004B07E5" w:rsidP="008516B9">
      <w:pPr>
        <w:numPr>
          <w:ilvl w:val="0"/>
          <w:numId w:val="6"/>
        </w:numPr>
        <w:tabs>
          <w:tab w:val="clear" w:pos="0"/>
          <w:tab w:val="clear" w:pos="540"/>
        </w:tabs>
        <w:spacing w:line="360" w:lineRule="auto"/>
        <w:rPr>
          <w:rFonts w:ascii="Arial" w:hAnsi="Arial" w:cs="Arial"/>
        </w:rPr>
      </w:pPr>
      <w:r w:rsidRPr="008516B9">
        <w:rPr>
          <w:rFonts w:ascii="Arial" w:hAnsi="Arial" w:cs="Arial"/>
          <w:b/>
          <w:bCs/>
        </w:rPr>
        <w:t>Homicidios:</w:t>
      </w:r>
      <w:r w:rsidRPr="008516B9">
        <w:rPr>
          <w:rFonts w:ascii="Arial" w:hAnsi="Arial" w:cs="Arial"/>
        </w:rPr>
        <w:t xml:space="preserve"> levantamiento del cadáver y preservación de indicios biológicos en lugares públicos.</w:t>
      </w:r>
    </w:p>
    <w:p w:rsidR="004B07E5" w:rsidRPr="008516B9" w:rsidRDefault="004B07E5" w:rsidP="008516B9">
      <w:pPr>
        <w:numPr>
          <w:ilvl w:val="0"/>
          <w:numId w:val="6"/>
        </w:numPr>
        <w:tabs>
          <w:tab w:val="clear" w:pos="0"/>
          <w:tab w:val="clear" w:pos="540"/>
        </w:tabs>
        <w:spacing w:line="360" w:lineRule="auto"/>
        <w:rPr>
          <w:rFonts w:ascii="Arial" w:hAnsi="Arial" w:cs="Arial"/>
        </w:rPr>
      </w:pPr>
      <w:r w:rsidRPr="008516B9">
        <w:rPr>
          <w:rFonts w:ascii="Arial" w:hAnsi="Arial" w:cs="Arial"/>
          <w:b/>
          <w:bCs/>
        </w:rPr>
        <w:t>Robos:</w:t>
      </w:r>
      <w:r w:rsidRPr="008516B9">
        <w:rPr>
          <w:rFonts w:ascii="Arial" w:hAnsi="Arial" w:cs="Arial"/>
        </w:rPr>
        <w:t xml:space="preserve"> prevención de la pérdida de evidencias.</w:t>
      </w:r>
    </w:p>
    <w:p w:rsidR="004B07E5" w:rsidRPr="008516B9" w:rsidRDefault="004B07E5" w:rsidP="008516B9">
      <w:pPr>
        <w:numPr>
          <w:ilvl w:val="0"/>
          <w:numId w:val="6"/>
        </w:numPr>
        <w:tabs>
          <w:tab w:val="clear" w:pos="0"/>
          <w:tab w:val="clear" w:pos="540"/>
        </w:tabs>
        <w:spacing w:line="360" w:lineRule="auto"/>
        <w:rPr>
          <w:rFonts w:ascii="Arial" w:hAnsi="Arial" w:cs="Arial"/>
        </w:rPr>
      </w:pPr>
      <w:r w:rsidRPr="008516B9">
        <w:rPr>
          <w:rFonts w:ascii="Arial" w:hAnsi="Arial" w:cs="Arial"/>
          <w:b/>
          <w:bCs/>
        </w:rPr>
        <w:t>Violaciones:</w:t>
      </w:r>
      <w:r w:rsidRPr="008516B9">
        <w:rPr>
          <w:rFonts w:ascii="Arial" w:hAnsi="Arial" w:cs="Arial"/>
        </w:rPr>
        <w:t xml:space="preserve"> recolección de fluidos biológicos y otros rastros.</w:t>
      </w:r>
    </w:p>
    <w:p w:rsidR="004B07E5" w:rsidRPr="008516B9" w:rsidRDefault="004B07E5" w:rsidP="008516B9">
      <w:pPr>
        <w:spacing w:line="360" w:lineRule="auto"/>
        <w:rPr>
          <w:rFonts w:ascii="Arial" w:hAnsi="Arial" w:cs="Arial"/>
          <w:b/>
          <w:bCs/>
        </w:rPr>
      </w:pPr>
      <w:r w:rsidRPr="008516B9">
        <w:rPr>
          <w:rFonts w:ascii="Arial" w:hAnsi="Arial" w:cs="Arial"/>
          <w:b/>
          <w:bCs/>
        </w:rPr>
        <w:t>Acciones específicas del levantamiento</w:t>
      </w:r>
    </w:p>
    <w:p w:rsidR="004B07E5" w:rsidRPr="008516B9" w:rsidRDefault="004B07E5" w:rsidP="008516B9">
      <w:pPr>
        <w:spacing w:line="360" w:lineRule="auto"/>
        <w:rPr>
          <w:rFonts w:ascii="Arial" w:hAnsi="Arial" w:cs="Arial"/>
        </w:rPr>
      </w:pPr>
      <w:r w:rsidRPr="008516B9">
        <w:rPr>
          <w:rFonts w:ascii="Arial" w:hAnsi="Arial" w:cs="Arial"/>
        </w:rPr>
        <w:t xml:space="preserve">El levantamiento del cadáver implica una coordinación entre el </w:t>
      </w:r>
      <w:r w:rsidRPr="008516B9">
        <w:rPr>
          <w:rFonts w:ascii="Arial" w:hAnsi="Arial" w:cs="Arial"/>
          <w:b/>
          <w:bCs/>
        </w:rPr>
        <w:t>Fiscal, la Policía y el Médico Forense</w:t>
      </w:r>
      <w:r w:rsidRPr="008516B9">
        <w:rPr>
          <w:rFonts w:ascii="Arial" w:hAnsi="Arial" w:cs="Arial"/>
        </w:rPr>
        <w:t>, comprendiendo los siguientes pasos:</w:t>
      </w:r>
    </w:p>
    <w:p w:rsidR="004B07E5" w:rsidRPr="008516B9" w:rsidRDefault="004B07E5" w:rsidP="008516B9">
      <w:pPr>
        <w:numPr>
          <w:ilvl w:val="0"/>
          <w:numId w:val="7"/>
        </w:numPr>
        <w:tabs>
          <w:tab w:val="clear" w:pos="0"/>
          <w:tab w:val="clear" w:pos="540"/>
        </w:tabs>
        <w:spacing w:line="360" w:lineRule="auto"/>
        <w:rPr>
          <w:rFonts w:ascii="Arial" w:hAnsi="Arial" w:cs="Arial"/>
        </w:rPr>
      </w:pPr>
      <w:r w:rsidRPr="008516B9">
        <w:rPr>
          <w:rFonts w:ascii="Arial" w:hAnsi="Arial" w:cs="Arial"/>
        </w:rPr>
        <w:t>Aseguramiento de la escena.</w:t>
      </w:r>
    </w:p>
    <w:p w:rsidR="004B07E5" w:rsidRPr="008516B9" w:rsidRDefault="004B07E5" w:rsidP="008516B9">
      <w:pPr>
        <w:numPr>
          <w:ilvl w:val="0"/>
          <w:numId w:val="7"/>
        </w:numPr>
        <w:tabs>
          <w:tab w:val="clear" w:pos="0"/>
          <w:tab w:val="clear" w:pos="540"/>
        </w:tabs>
        <w:spacing w:line="360" w:lineRule="auto"/>
        <w:rPr>
          <w:rFonts w:ascii="Arial" w:hAnsi="Arial" w:cs="Arial"/>
        </w:rPr>
      </w:pPr>
      <w:r w:rsidRPr="008516B9">
        <w:rPr>
          <w:rFonts w:ascii="Arial" w:hAnsi="Arial" w:cs="Arial"/>
        </w:rPr>
        <w:t>Observación y descripción del lugar.</w:t>
      </w:r>
    </w:p>
    <w:p w:rsidR="004B07E5" w:rsidRPr="008516B9" w:rsidRDefault="004B07E5" w:rsidP="008516B9">
      <w:pPr>
        <w:numPr>
          <w:ilvl w:val="0"/>
          <w:numId w:val="7"/>
        </w:numPr>
        <w:tabs>
          <w:tab w:val="clear" w:pos="0"/>
          <w:tab w:val="clear" w:pos="540"/>
        </w:tabs>
        <w:spacing w:line="360" w:lineRule="auto"/>
        <w:rPr>
          <w:rFonts w:ascii="Arial" w:hAnsi="Arial" w:cs="Arial"/>
        </w:rPr>
      </w:pPr>
      <w:r w:rsidRPr="008516B9">
        <w:rPr>
          <w:rFonts w:ascii="Arial" w:hAnsi="Arial" w:cs="Arial"/>
        </w:rPr>
        <w:t xml:space="preserve">Fijación fotográfica y </w:t>
      </w:r>
      <w:proofErr w:type="spellStart"/>
      <w:r w:rsidRPr="008516B9">
        <w:rPr>
          <w:rFonts w:ascii="Arial" w:hAnsi="Arial" w:cs="Arial"/>
        </w:rPr>
        <w:t>planimétrica</w:t>
      </w:r>
      <w:proofErr w:type="spellEnd"/>
      <w:r w:rsidRPr="008516B9">
        <w:rPr>
          <w:rFonts w:ascii="Arial" w:hAnsi="Arial" w:cs="Arial"/>
        </w:rPr>
        <w:t>.</w:t>
      </w:r>
    </w:p>
    <w:p w:rsidR="004B07E5" w:rsidRPr="008516B9" w:rsidRDefault="004B07E5" w:rsidP="008516B9">
      <w:pPr>
        <w:numPr>
          <w:ilvl w:val="0"/>
          <w:numId w:val="7"/>
        </w:numPr>
        <w:tabs>
          <w:tab w:val="clear" w:pos="0"/>
          <w:tab w:val="clear" w:pos="540"/>
        </w:tabs>
        <w:spacing w:line="360" w:lineRule="auto"/>
        <w:rPr>
          <w:rFonts w:ascii="Arial" w:hAnsi="Arial" w:cs="Arial"/>
        </w:rPr>
      </w:pPr>
      <w:r w:rsidRPr="008516B9">
        <w:rPr>
          <w:rFonts w:ascii="Arial" w:hAnsi="Arial" w:cs="Arial"/>
        </w:rPr>
        <w:lastRenderedPageBreak/>
        <w:t>Descripción externa del cadáver (posición, vestimenta, lesiones, signos de violencia o fenómenos cadavéricos).</w:t>
      </w:r>
    </w:p>
    <w:p w:rsidR="004B07E5" w:rsidRPr="008516B9" w:rsidRDefault="004B07E5" w:rsidP="008516B9">
      <w:pPr>
        <w:numPr>
          <w:ilvl w:val="0"/>
          <w:numId w:val="7"/>
        </w:numPr>
        <w:tabs>
          <w:tab w:val="clear" w:pos="0"/>
          <w:tab w:val="clear" w:pos="540"/>
        </w:tabs>
        <w:spacing w:line="360" w:lineRule="auto"/>
        <w:rPr>
          <w:rFonts w:ascii="Arial" w:hAnsi="Arial" w:cs="Arial"/>
        </w:rPr>
      </w:pPr>
      <w:r w:rsidRPr="008516B9">
        <w:rPr>
          <w:rFonts w:ascii="Arial" w:hAnsi="Arial" w:cs="Arial"/>
        </w:rPr>
        <w:t>Recolección y embalaje de indicios bajo cadena de custodia.</w:t>
      </w:r>
    </w:p>
    <w:p w:rsidR="004B07E5" w:rsidRPr="008516B9" w:rsidRDefault="004B07E5" w:rsidP="008516B9">
      <w:pPr>
        <w:numPr>
          <w:ilvl w:val="0"/>
          <w:numId w:val="7"/>
        </w:numPr>
        <w:tabs>
          <w:tab w:val="clear" w:pos="0"/>
          <w:tab w:val="clear" w:pos="540"/>
        </w:tabs>
        <w:spacing w:line="360" w:lineRule="auto"/>
        <w:rPr>
          <w:rFonts w:ascii="Arial" w:hAnsi="Arial" w:cs="Arial"/>
        </w:rPr>
      </w:pPr>
      <w:r w:rsidRPr="008516B9">
        <w:rPr>
          <w:rFonts w:ascii="Arial" w:hAnsi="Arial" w:cs="Arial"/>
        </w:rPr>
        <w:t>Traslado del cadáver a la morgue judicial para autopsia médico-legal.</w:t>
      </w:r>
    </w:p>
    <w:p w:rsidR="004B07E5" w:rsidRPr="008516B9" w:rsidRDefault="004B07E5" w:rsidP="008516B9">
      <w:pPr>
        <w:spacing w:line="360" w:lineRule="auto"/>
        <w:rPr>
          <w:rFonts w:ascii="Arial" w:hAnsi="Arial" w:cs="Arial"/>
          <w:b/>
          <w:bCs/>
        </w:rPr>
      </w:pPr>
      <w:r w:rsidRPr="008516B9">
        <w:rPr>
          <w:rFonts w:ascii="Arial" w:hAnsi="Arial" w:cs="Arial"/>
          <w:b/>
          <w:bCs/>
        </w:rPr>
        <w:t>3.1. Tanatología Médico Legal</w:t>
      </w:r>
    </w:p>
    <w:p w:rsidR="004B07E5" w:rsidRPr="008516B9" w:rsidRDefault="004B07E5" w:rsidP="008516B9">
      <w:pPr>
        <w:spacing w:line="360" w:lineRule="auto"/>
        <w:rPr>
          <w:rFonts w:ascii="Arial" w:hAnsi="Arial" w:cs="Arial"/>
        </w:rPr>
      </w:pPr>
      <w:r w:rsidRPr="008516B9">
        <w:rPr>
          <w:rFonts w:ascii="Arial" w:hAnsi="Arial" w:cs="Arial"/>
        </w:rPr>
        <w:t xml:space="preserve">La </w:t>
      </w:r>
      <w:r w:rsidRPr="008516B9">
        <w:rPr>
          <w:rFonts w:ascii="Arial" w:hAnsi="Arial" w:cs="Arial"/>
          <w:bCs/>
        </w:rPr>
        <w:t>Tanatología</w:t>
      </w:r>
      <w:r w:rsidRPr="008516B9">
        <w:rPr>
          <w:rFonts w:ascii="Arial" w:hAnsi="Arial" w:cs="Arial"/>
        </w:rPr>
        <w:t xml:space="preserve"> es la rama de la medicina legal que estudia la muerte, los fenómenos cadavéricos y sus implicaciones jurídicas. Sus objetivos principales son:</w:t>
      </w:r>
    </w:p>
    <w:p w:rsidR="004B07E5" w:rsidRPr="008516B9" w:rsidRDefault="004B07E5" w:rsidP="008516B9">
      <w:pPr>
        <w:numPr>
          <w:ilvl w:val="0"/>
          <w:numId w:val="8"/>
        </w:numPr>
        <w:tabs>
          <w:tab w:val="clear" w:pos="0"/>
          <w:tab w:val="clear" w:pos="540"/>
        </w:tabs>
        <w:spacing w:line="360" w:lineRule="auto"/>
        <w:rPr>
          <w:rFonts w:ascii="Arial" w:hAnsi="Arial" w:cs="Arial"/>
        </w:rPr>
      </w:pPr>
      <w:r w:rsidRPr="008516B9">
        <w:rPr>
          <w:rFonts w:ascii="Arial" w:hAnsi="Arial" w:cs="Arial"/>
        </w:rPr>
        <w:t xml:space="preserve">Determinar la </w:t>
      </w:r>
      <w:r w:rsidRPr="008516B9">
        <w:rPr>
          <w:rFonts w:ascii="Arial" w:hAnsi="Arial" w:cs="Arial"/>
          <w:bCs/>
        </w:rPr>
        <w:t>data de la muerte</w:t>
      </w:r>
      <w:r w:rsidRPr="008516B9">
        <w:rPr>
          <w:rFonts w:ascii="Arial" w:hAnsi="Arial" w:cs="Arial"/>
        </w:rPr>
        <w:t xml:space="preserve"> (tiempo transcurrido desde el fallecimiento).</w:t>
      </w:r>
    </w:p>
    <w:p w:rsidR="004B07E5" w:rsidRPr="008516B9" w:rsidRDefault="004B07E5" w:rsidP="008516B9">
      <w:pPr>
        <w:numPr>
          <w:ilvl w:val="0"/>
          <w:numId w:val="8"/>
        </w:numPr>
        <w:tabs>
          <w:tab w:val="clear" w:pos="0"/>
          <w:tab w:val="clear" w:pos="540"/>
        </w:tabs>
        <w:spacing w:line="360" w:lineRule="auto"/>
        <w:rPr>
          <w:rFonts w:ascii="Arial" w:hAnsi="Arial" w:cs="Arial"/>
        </w:rPr>
      </w:pPr>
      <w:r w:rsidRPr="008516B9">
        <w:rPr>
          <w:rFonts w:ascii="Arial" w:hAnsi="Arial" w:cs="Arial"/>
        </w:rPr>
        <w:t xml:space="preserve">Establecer la </w:t>
      </w:r>
      <w:r w:rsidRPr="008516B9">
        <w:rPr>
          <w:rFonts w:ascii="Arial" w:hAnsi="Arial" w:cs="Arial"/>
          <w:bCs/>
        </w:rPr>
        <w:t>causa de muerte</w:t>
      </w:r>
      <w:r w:rsidRPr="008516B9">
        <w:rPr>
          <w:rFonts w:ascii="Arial" w:hAnsi="Arial" w:cs="Arial"/>
        </w:rPr>
        <w:t xml:space="preserve"> (qué provocó el deceso).</w:t>
      </w:r>
    </w:p>
    <w:p w:rsidR="004B07E5" w:rsidRPr="008516B9" w:rsidRDefault="004B07E5" w:rsidP="008516B9">
      <w:pPr>
        <w:numPr>
          <w:ilvl w:val="0"/>
          <w:numId w:val="8"/>
        </w:numPr>
        <w:tabs>
          <w:tab w:val="clear" w:pos="0"/>
          <w:tab w:val="clear" w:pos="540"/>
        </w:tabs>
        <w:spacing w:line="360" w:lineRule="auto"/>
        <w:rPr>
          <w:rFonts w:ascii="Arial" w:hAnsi="Arial" w:cs="Arial"/>
        </w:rPr>
      </w:pPr>
      <w:r w:rsidRPr="008516B9">
        <w:rPr>
          <w:rFonts w:ascii="Arial" w:hAnsi="Arial" w:cs="Arial"/>
        </w:rPr>
        <w:t xml:space="preserve">Definir la </w:t>
      </w:r>
      <w:r w:rsidRPr="008516B9">
        <w:rPr>
          <w:rFonts w:ascii="Arial" w:hAnsi="Arial" w:cs="Arial"/>
          <w:bCs/>
        </w:rPr>
        <w:t>manera de muerte</w:t>
      </w:r>
      <w:r w:rsidRPr="008516B9">
        <w:rPr>
          <w:rFonts w:ascii="Arial" w:hAnsi="Arial" w:cs="Arial"/>
        </w:rPr>
        <w:t xml:space="preserve"> (accidental, homicida, suicida o natural).</w:t>
      </w:r>
    </w:p>
    <w:p w:rsidR="004B07E5" w:rsidRPr="008516B9" w:rsidRDefault="004B07E5" w:rsidP="008516B9">
      <w:pPr>
        <w:spacing w:line="360" w:lineRule="auto"/>
        <w:rPr>
          <w:rFonts w:ascii="Arial" w:hAnsi="Arial" w:cs="Arial"/>
        </w:rPr>
      </w:pPr>
      <w:r w:rsidRPr="008516B9">
        <w:rPr>
          <w:rFonts w:ascii="Arial" w:hAnsi="Arial" w:cs="Arial"/>
        </w:rPr>
        <w:t>Se consideran los siguientes elementos:</w:t>
      </w:r>
    </w:p>
    <w:p w:rsidR="004B07E5" w:rsidRPr="008516B9" w:rsidRDefault="004B07E5" w:rsidP="008516B9">
      <w:pPr>
        <w:numPr>
          <w:ilvl w:val="0"/>
          <w:numId w:val="9"/>
        </w:numPr>
        <w:tabs>
          <w:tab w:val="clear" w:pos="0"/>
          <w:tab w:val="clear" w:pos="540"/>
        </w:tabs>
        <w:spacing w:line="360" w:lineRule="auto"/>
        <w:rPr>
          <w:rFonts w:ascii="Arial" w:hAnsi="Arial" w:cs="Arial"/>
        </w:rPr>
      </w:pPr>
      <w:r w:rsidRPr="008516B9">
        <w:rPr>
          <w:rFonts w:ascii="Arial" w:hAnsi="Arial" w:cs="Arial"/>
          <w:bCs/>
        </w:rPr>
        <w:t>Fenómenos cadavéricos tempranos:</w:t>
      </w:r>
      <w:r w:rsidRPr="008516B9">
        <w:rPr>
          <w:rFonts w:ascii="Arial" w:hAnsi="Arial" w:cs="Arial"/>
        </w:rPr>
        <w:t xml:space="preserve"> enfriamiento, rigidez, livideces y deshidratación.</w:t>
      </w:r>
    </w:p>
    <w:p w:rsidR="004B07E5" w:rsidRPr="008516B9" w:rsidRDefault="004B07E5" w:rsidP="008516B9">
      <w:pPr>
        <w:numPr>
          <w:ilvl w:val="0"/>
          <w:numId w:val="9"/>
        </w:numPr>
        <w:tabs>
          <w:tab w:val="clear" w:pos="0"/>
          <w:tab w:val="clear" w:pos="540"/>
        </w:tabs>
        <w:spacing w:line="360" w:lineRule="auto"/>
        <w:rPr>
          <w:rFonts w:ascii="Arial" w:hAnsi="Arial" w:cs="Arial"/>
        </w:rPr>
      </w:pPr>
      <w:r w:rsidRPr="008516B9">
        <w:rPr>
          <w:rFonts w:ascii="Arial" w:hAnsi="Arial" w:cs="Arial"/>
          <w:bCs/>
        </w:rPr>
        <w:t>Fenómenos cadavéricos tardíos:</w:t>
      </w:r>
      <w:r w:rsidRPr="008516B9">
        <w:rPr>
          <w:rFonts w:ascii="Arial" w:hAnsi="Arial" w:cs="Arial"/>
        </w:rPr>
        <w:t xml:space="preserve"> putrefacción, momificación, adipocira y esqueletización.</w:t>
      </w:r>
    </w:p>
    <w:p w:rsidR="004B07E5" w:rsidRPr="008516B9" w:rsidRDefault="004B07E5" w:rsidP="008516B9">
      <w:pPr>
        <w:spacing w:line="360" w:lineRule="auto"/>
        <w:rPr>
          <w:rFonts w:ascii="Arial" w:hAnsi="Arial" w:cs="Arial"/>
        </w:rPr>
      </w:pPr>
      <w:r w:rsidRPr="008516B9">
        <w:rPr>
          <w:rFonts w:ascii="Arial" w:hAnsi="Arial" w:cs="Arial"/>
        </w:rPr>
        <w:t>El examen tanatológico se realiza en la autopsia médico legal, donde se analizan lesiones internas, órganos vitales y posibles intoxicaciones. De esta manera, la tanatología permite correlacionar los hallazgos médicos con la investigación criminal, otorgando sustento científico al proceso penal.</w:t>
      </w:r>
    </w:p>
    <w:p w:rsidR="004B07E5" w:rsidRPr="008516B9" w:rsidRDefault="008516B9" w:rsidP="008516B9">
      <w:pPr>
        <w:spacing w:line="360" w:lineRule="auto"/>
        <w:rPr>
          <w:rFonts w:ascii="Arial" w:hAnsi="Arial" w:cs="Arial"/>
          <w:b/>
        </w:rPr>
      </w:pPr>
      <w:r w:rsidRPr="008516B9">
        <w:rPr>
          <w:rFonts w:ascii="Arial" w:hAnsi="Arial" w:cs="Arial"/>
          <w:b/>
        </w:rPr>
        <w:t xml:space="preserve">4. </w:t>
      </w:r>
      <w:r w:rsidR="004B07E5" w:rsidRPr="008516B9">
        <w:rPr>
          <w:rFonts w:ascii="Arial" w:hAnsi="Arial" w:cs="Arial"/>
          <w:b/>
        </w:rPr>
        <w:t>Hallazgo del hecho</w:t>
      </w:r>
    </w:p>
    <w:p w:rsidR="00A33302" w:rsidRPr="008516B9" w:rsidRDefault="00A33302" w:rsidP="008516B9">
      <w:pPr>
        <w:spacing w:line="360" w:lineRule="auto"/>
        <w:rPr>
          <w:rFonts w:ascii="Arial" w:hAnsi="Arial" w:cs="Arial"/>
        </w:rPr>
      </w:pPr>
      <w:r w:rsidRPr="008516B9">
        <w:rPr>
          <w:rFonts w:ascii="Arial" w:hAnsi="Arial" w:cs="Arial"/>
        </w:rPr>
        <w:t>En fecha 14 de septiembre de 2025, aproximadamente a horas 14:00 p.m., un grupo de personas conformado por Carla, Alejandra, Julio, Marcelo y Eduardo se constituyó en el local denominado “El Infinito”, ubicado en la zona San Cristóbal, calle Sucre s/n, con el propósito de compartir bebidas alcohólicas después de un partido de fútbol.</w:t>
      </w:r>
    </w:p>
    <w:p w:rsidR="004B07E5" w:rsidRPr="008516B9" w:rsidRDefault="00A33302" w:rsidP="008516B9">
      <w:pPr>
        <w:spacing w:line="360" w:lineRule="auto"/>
        <w:rPr>
          <w:rFonts w:ascii="Arial" w:hAnsi="Arial" w:cs="Arial"/>
        </w:rPr>
      </w:pPr>
      <w:r w:rsidRPr="008516B9">
        <w:rPr>
          <w:rFonts w:ascii="Arial" w:hAnsi="Arial" w:cs="Arial"/>
        </w:rPr>
        <w:t>Cabe señalar que Marcelo era amigo cercano de Juanito, mientras que Carla lo conocía previamente; sin embargo, Alejandra, Julio y Eduardo tuvieron contacto con él por primera vez en esa ocasión, al salir del encuentro deportivo.</w:t>
      </w:r>
    </w:p>
    <w:p w:rsidR="004B07E5" w:rsidRPr="008516B9" w:rsidRDefault="004B07E5" w:rsidP="008516B9">
      <w:pPr>
        <w:spacing w:line="360" w:lineRule="auto"/>
        <w:rPr>
          <w:rFonts w:ascii="Arial" w:hAnsi="Arial" w:cs="Arial"/>
        </w:rPr>
      </w:pPr>
      <w:r w:rsidRPr="008516B9">
        <w:rPr>
          <w:rFonts w:ascii="Arial" w:hAnsi="Arial" w:cs="Arial"/>
        </w:rPr>
        <w:t>Durante la permanencia en el lugar, el ciudadano Juanito, en evidente estado de ebriedad, manifestó su intención de dirigirse al baño aproximadamente a horas 18:00 p.m. Sin embargo, no retornó a la mesa.</w:t>
      </w:r>
    </w:p>
    <w:p w:rsidR="004B07E5" w:rsidRPr="008516B9" w:rsidRDefault="004B07E5" w:rsidP="008516B9">
      <w:pPr>
        <w:spacing w:line="360" w:lineRule="auto"/>
        <w:rPr>
          <w:rFonts w:ascii="Arial" w:hAnsi="Arial" w:cs="Arial"/>
        </w:rPr>
      </w:pPr>
      <w:r w:rsidRPr="008516B9">
        <w:rPr>
          <w:rFonts w:ascii="Arial" w:hAnsi="Arial" w:cs="Arial"/>
        </w:rPr>
        <w:t xml:space="preserve">Transcurridas varias horas, alrededor de la medianoche, la señora Carla se dirigió al baño de mujeres y advirtió que una tercera puerta, contigua a los sanitarios, se </w:t>
      </w:r>
      <w:r w:rsidRPr="008516B9">
        <w:rPr>
          <w:rFonts w:ascii="Arial" w:hAnsi="Arial" w:cs="Arial"/>
        </w:rPr>
        <w:lastRenderedPageBreak/>
        <w:t>encontraba abierta. Al asomarse observó el cuerpo de Juanito tendido en el piso de un nivel inferior, por lo que de inmediato procedió a llamar al número de emergencias 110, solicitando presencia policial.</w:t>
      </w:r>
    </w:p>
    <w:p w:rsidR="00F85C03" w:rsidRPr="008516B9" w:rsidRDefault="004B07E5" w:rsidP="008516B9">
      <w:pPr>
        <w:spacing w:line="360" w:lineRule="auto"/>
        <w:rPr>
          <w:rFonts w:ascii="Arial" w:hAnsi="Arial" w:cs="Arial"/>
        </w:rPr>
      </w:pPr>
      <w:r w:rsidRPr="008516B9">
        <w:rPr>
          <w:rFonts w:ascii="Arial" w:hAnsi="Arial" w:cs="Arial"/>
        </w:rPr>
        <w:t>Minutos más tarde, personal policial arribó al lugar, verificó la ausencia de signos vitales en la víctima, dispuso el acordonamiento del área y procedió a convocar, vía radio, al Fiscal de Materia y al equipo multidisciplinario correspondiente.</w:t>
      </w:r>
    </w:p>
    <w:p w:rsidR="00F85C03" w:rsidRPr="008516B9" w:rsidRDefault="008516B9" w:rsidP="008516B9">
      <w:pPr>
        <w:spacing w:line="360" w:lineRule="auto"/>
        <w:rPr>
          <w:rFonts w:ascii="Arial" w:hAnsi="Arial" w:cs="Arial"/>
          <w:b/>
          <w:bCs/>
        </w:rPr>
      </w:pPr>
      <w:r w:rsidRPr="008516B9">
        <w:rPr>
          <w:rFonts w:ascii="Arial" w:hAnsi="Arial" w:cs="Arial"/>
          <w:b/>
          <w:bCs/>
        </w:rPr>
        <w:t xml:space="preserve">5. </w:t>
      </w:r>
      <w:r w:rsidR="00F85C03" w:rsidRPr="008516B9">
        <w:rPr>
          <w:rFonts w:ascii="Arial" w:hAnsi="Arial" w:cs="Arial"/>
          <w:b/>
          <w:bCs/>
        </w:rPr>
        <w:t>Procedimiento del levantamiento de cadáver</w:t>
      </w:r>
    </w:p>
    <w:p w:rsidR="00F85C03" w:rsidRPr="008516B9" w:rsidRDefault="00F85C03" w:rsidP="008516B9">
      <w:pPr>
        <w:spacing w:line="360" w:lineRule="auto"/>
        <w:rPr>
          <w:rFonts w:ascii="Arial" w:hAnsi="Arial" w:cs="Arial"/>
        </w:rPr>
      </w:pPr>
      <w:r w:rsidRPr="008516B9">
        <w:rPr>
          <w:rFonts w:ascii="Arial" w:hAnsi="Arial" w:cs="Arial"/>
        </w:rPr>
        <w:t>Aproximadamente 10 minutos después de la llegada del patrullero, se constituyó en el lugar el equipo multidisciplinario integrado por la Fiscal de Materia, el Médico Forense y los peritos especializados, entre ellos el perito fotógrafo.</w:t>
      </w:r>
    </w:p>
    <w:p w:rsidR="00F85C03" w:rsidRPr="008516B9" w:rsidRDefault="00F85C03" w:rsidP="008516B9">
      <w:pPr>
        <w:spacing w:line="360" w:lineRule="auto"/>
        <w:rPr>
          <w:rFonts w:ascii="Arial" w:hAnsi="Arial" w:cs="Arial"/>
        </w:rPr>
      </w:pPr>
      <w:r w:rsidRPr="008516B9">
        <w:rPr>
          <w:rFonts w:ascii="Arial" w:hAnsi="Arial" w:cs="Arial"/>
        </w:rPr>
        <w:t>La Fiscal de Materia, en calidad de autoridad competente, autorizó el inicio del procedimiento, supervisando en todo momento las diligencias practicadas.</w:t>
      </w:r>
    </w:p>
    <w:p w:rsidR="00F85C03" w:rsidRPr="008516B9" w:rsidRDefault="00F85C03" w:rsidP="008516B9">
      <w:pPr>
        <w:spacing w:line="360" w:lineRule="auto"/>
        <w:rPr>
          <w:rFonts w:ascii="Arial" w:hAnsi="Arial" w:cs="Arial"/>
        </w:rPr>
      </w:pPr>
      <w:r w:rsidRPr="008516B9">
        <w:rPr>
          <w:rFonts w:ascii="Arial" w:hAnsi="Arial" w:cs="Arial"/>
        </w:rPr>
        <w:t>El levantamiento del cadáver se realizó siguiendo las técnicas establecidas en normativa vigente, bajo el siguiente orden:</w:t>
      </w:r>
    </w:p>
    <w:p w:rsidR="00F85C03" w:rsidRPr="008516B9" w:rsidRDefault="00F85C03" w:rsidP="008516B9">
      <w:pPr>
        <w:numPr>
          <w:ilvl w:val="0"/>
          <w:numId w:val="10"/>
        </w:numPr>
        <w:spacing w:line="360" w:lineRule="auto"/>
        <w:jc w:val="both"/>
        <w:rPr>
          <w:rFonts w:ascii="Arial" w:hAnsi="Arial" w:cs="Arial"/>
        </w:rPr>
      </w:pPr>
      <w:r w:rsidRPr="008516B9">
        <w:rPr>
          <w:rFonts w:ascii="Arial" w:hAnsi="Arial" w:cs="Arial"/>
          <w:b/>
          <w:bCs/>
        </w:rPr>
        <w:t>Registro fotográfico</w:t>
      </w:r>
      <w:r w:rsidRPr="008516B9">
        <w:rPr>
          <w:rFonts w:ascii="Arial" w:hAnsi="Arial" w:cs="Arial"/>
        </w:rPr>
        <w:t xml:space="preserve"> a cargo del perito fotógrafo, quien capturó imágenes panorámicas del lugar, de la escena y del cadáver en diferentes ángulos.</w:t>
      </w:r>
    </w:p>
    <w:p w:rsidR="00F85C03" w:rsidRPr="008516B9" w:rsidRDefault="00F85C03" w:rsidP="008516B9">
      <w:pPr>
        <w:numPr>
          <w:ilvl w:val="0"/>
          <w:numId w:val="10"/>
        </w:numPr>
        <w:spacing w:line="360" w:lineRule="auto"/>
        <w:jc w:val="both"/>
        <w:rPr>
          <w:rFonts w:ascii="Arial" w:hAnsi="Arial" w:cs="Arial"/>
        </w:rPr>
      </w:pPr>
      <w:r w:rsidRPr="008516B9">
        <w:rPr>
          <w:rFonts w:ascii="Arial" w:hAnsi="Arial" w:cs="Arial"/>
          <w:b/>
          <w:bCs/>
        </w:rPr>
        <w:t>Inspección ocular de la escena</w:t>
      </w:r>
      <w:r w:rsidRPr="008516B9">
        <w:rPr>
          <w:rFonts w:ascii="Arial" w:hAnsi="Arial" w:cs="Arial"/>
        </w:rPr>
        <w:t xml:space="preserve"> realizada por el personal pericial, colocando señalizadore</w:t>
      </w:r>
      <w:r w:rsidR="008516B9" w:rsidRPr="008516B9">
        <w:rPr>
          <w:rFonts w:ascii="Arial" w:hAnsi="Arial" w:cs="Arial"/>
        </w:rPr>
        <w:t>s numéricos en los indicios, se procedió al levantamiento de evidencias, entre las cuales se encontró un teléfono celular con funda de color negro, el cual fue embalado y rotulado conforme a la cadena de custodia. Asimismo, en el área próxima al cadáver se realizó la toma de muestra biológica de sangre mediante hisopado, la cual fue debidamente resguardada para su posterior análisis de laboratorio.</w:t>
      </w:r>
    </w:p>
    <w:p w:rsidR="00F85C03" w:rsidRPr="008516B9" w:rsidRDefault="00F85C03" w:rsidP="008516B9">
      <w:pPr>
        <w:numPr>
          <w:ilvl w:val="0"/>
          <w:numId w:val="10"/>
        </w:numPr>
        <w:spacing w:line="360" w:lineRule="auto"/>
        <w:jc w:val="both"/>
        <w:rPr>
          <w:rFonts w:ascii="Arial" w:hAnsi="Arial" w:cs="Arial"/>
        </w:rPr>
      </w:pPr>
      <w:r w:rsidRPr="008516B9">
        <w:rPr>
          <w:rFonts w:ascii="Arial" w:hAnsi="Arial" w:cs="Arial"/>
          <w:b/>
          <w:bCs/>
        </w:rPr>
        <w:t>Documentación fotográfica de cada indicio</w:t>
      </w:r>
      <w:r w:rsidRPr="008516B9">
        <w:rPr>
          <w:rFonts w:ascii="Arial" w:hAnsi="Arial" w:cs="Arial"/>
        </w:rPr>
        <w:t xml:space="preserve"> antes de su levantamiento.</w:t>
      </w:r>
    </w:p>
    <w:p w:rsidR="00F85C03" w:rsidRPr="008516B9" w:rsidRDefault="00F85C03" w:rsidP="008516B9">
      <w:pPr>
        <w:numPr>
          <w:ilvl w:val="0"/>
          <w:numId w:val="10"/>
        </w:numPr>
        <w:spacing w:line="360" w:lineRule="auto"/>
        <w:jc w:val="both"/>
        <w:rPr>
          <w:rFonts w:ascii="Arial" w:hAnsi="Arial" w:cs="Arial"/>
        </w:rPr>
      </w:pPr>
      <w:r w:rsidRPr="008516B9">
        <w:rPr>
          <w:rFonts w:ascii="Arial" w:hAnsi="Arial" w:cs="Arial"/>
          <w:b/>
          <w:bCs/>
        </w:rPr>
        <w:t>Recolección, embalaje, rotulado y etiquetado</w:t>
      </w:r>
      <w:r w:rsidRPr="008516B9">
        <w:rPr>
          <w:rFonts w:ascii="Arial" w:hAnsi="Arial" w:cs="Arial"/>
        </w:rPr>
        <w:t xml:space="preserve"> de los indicios materiales, cumpliendo la cadena de custodia.</w:t>
      </w:r>
    </w:p>
    <w:p w:rsidR="00F85C03" w:rsidRPr="008516B9" w:rsidRDefault="00F85C03" w:rsidP="008516B9">
      <w:pPr>
        <w:numPr>
          <w:ilvl w:val="0"/>
          <w:numId w:val="10"/>
        </w:numPr>
        <w:spacing w:line="360" w:lineRule="auto"/>
        <w:jc w:val="both"/>
        <w:rPr>
          <w:rFonts w:ascii="Arial" w:hAnsi="Arial" w:cs="Arial"/>
        </w:rPr>
      </w:pPr>
      <w:r w:rsidRPr="008516B9">
        <w:rPr>
          <w:rFonts w:ascii="Arial" w:hAnsi="Arial" w:cs="Arial"/>
          <w:b/>
          <w:bCs/>
        </w:rPr>
        <w:t>Examen externo del cadáver</w:t>
      </w:r>
      <w:r w:rsidRPr="008516B9">
        <w:rPr>
          <w:rFonts w:ascii="Arial" w:hAnsi="Arial" w:cs="Arial"/>
        </w:rPr>
        <w:t xml:space="preserve"> practicado por el médico forense, quien verificó signos tanatológicos y estableció preliminarmente la data y causa probable de la muerte.</w:t>
      </w:r>
    </w:p>
    <w:p w:rsidR="008516B9" w:rsidRDefault="00031DDE" w:rsidP="008516B9">
      <w:pPr>
        <w:spacing w:line="360" w:lineRule="auto"/>
        <w:jc w:val="both"/>
        <w:rPr>
          <w:rFonts w:ascii="Arial" w:hAnsi="Arial" w:cs="Arial"/>
        </w:rPr>
      </w:pPr>
      <w:r>
        <w:rPr>
          <w:rFonts w:ascii="Arial" w:hAnsi="Arial" w:cs="Arial"/>
        </w:rPr>
        <w:t>Procedemos</w:t>
      </w:r>
      <w:r w:rsidR="007728FA">
        <w:rPr>
          <w:rFonts w:ascii="Arial" w:hAnsi="Arial" w:cs="Arial"/>
        </w:rPr>
        <w:t xml:space="preserve"> al levantamiento del cadáver el cuerpo corresponde un </w:t>
      </w:r>
      <w:r>
        <w:rPr>
          <w:rFonts w:ascii="Arial" w:hAnsi="Arial" w:cs="Arial"/>
        </w:rPr>
        <w:t>varón</w:t>
      </w:r>
      <w:r w:rsidR="007728FA">
        <w:rPr>
          <w:rFonts w:ascii="Arial" w:hAnsi="Arial" w:cs="Arial"/>
        </w:rPr>
        <w:t xml:space="preserve"> aproximadamente de 19 a 20 años hallado en decúbito ventral con </w:t>
      </w:r>
      <w:proofErr w:type="spellStart"/>
      <w:r w:rsidR="007728FA">
        <w:rPr>
          <w:rFonts w:ascii="Arial" w:hAnsi="Arial" w:cs="Arial"/>
        </w:rPr>
        <w:t>semiflexcion</w:t>
      </w:r>
      <w:proofErr w:type="spellEnd"/>
      <w:r w:rsidR="007728FA">
        <w:rPr>
          <w:rFonts w:ascii="Arial" w:hAnsi="Arial" w:cs="Arial"/>
        </w:rPr>
        <w:t xml:space="preserve"> de extremidades </w:t>
      </w:r>
      <w:r>
        <w:rPr>
          <w:rFonts w:ascii="Arial" w:hAnsi="Arial" w:cs="Arial"/>
        </w:rPr>
        <w:t>inferiores</w:t>
      </w:r>
      <w:r w:rsidR="007728FA">
        <w:rPr>
          <w:rFonts w:ascii="Arial" w:hAnsi="Arial" w:cs="Arial"/>
        </w:rPr>
        <w:t xml:space="preserve"> y miembro superior extendido hacia adelante viste chamarra de mezclilla azul pantalón jean azul y zapatillas deportivas negras </w:t>
      </w:r>
    </w:p>
    <w:p w:rsidR="007728FA" w:rsidRPr="00031DDE" w:rsidRDefault="007728FA" w:rsidP="008516B9">
      <w:pPr>
        <w:spacing w:line="360" w:lineRule="auto"/>
        <w:jc w:val="both"/>
        <w:rPr>
          <w:rFonts w:ascii="Arial" w:hAnsi="Arial" w:cs="Arial"/>
          <w:b/>
        </w:rPr>
      </w:pPr>
      <w:r w:rsidRPr="00031DDE">
        <w:rPr>
          <w:rFonts w:ascii="Arial" w:hAnsi="Arial" w:cs="Arial"/>
          <w:b/>
        </w:rPr>
        <w:t xml:space="preserve">Consideraciones </w:t>
      </w:r>
      <w:r w:rsidR="00C1063C" w:rsidRPr="00031DDE">
        <w:rPr>
          <w:rFonts w:ascii="Arial" w:hAnsi="Arial" w:cs="Arial"/>
          <w:b/>
        </w:rPr>
        <w:t>tanatologías</w:t>
      </w:r>
      <w:r w:rsidRPr="00031DDE">
        <w:rPr>
          <w:rFonts w:ascii="Arial" w:hAnsi="Arial" w:cs="Arial"/>
          <w:b/>
        </w:rPr>
        <w:t xml:space="preserve">: </w:t>
      </w:r>
    </w:p>
    <w:p w:rsidR="007728FA" w:rsidRDefault="007728FA" w:rsidP="008516B9">
      <w:pPr>
        <w:spacing w:line="360" w:lineRule="auto"/>
        <w:jc w:val="both"/>
        <w:rPr>
          <w:rFonts w:ascii="Arial" w:hAnsi="Arial" w:cs="Arial"/>
        </w:rPr>
      </w:pPr>
      <w:r w:rsidRPr="00031DDE">
        <w:rPr>
          <w:rFonts w:ascii="Arial" w:hAnsi="Arial" w:cs="Arial"/>
          <w:b/>
        </w:rPr>
        <w:t xml:space="preserve">*posición del </w:t>
      </w:r>
      <w:r w:rsidR="00031DDE" w:rsidRPr="00031DDE">
        <w:rPr>
          <w:rFonts w:ascii="Arial" w:hAnsi="Arial" w:cs="Arial"/>
          <w:b/>
        </w:rPr>
        <w:t>cuerpo:</w:t>
      </w:r>
      <w:r w:rsidR="00031DDE">
        <w:rPr>
          <w:rFonts w:ascii="Arial" w:hAnsi="Arial" w:cs="Arial"/>
        </w:rPr>
        <w:t xml:space="preserve"> compatible</w:t>
      </w:r>
      <w:r>
        <w:rPr>
          <w:rFonts w:ascii="Arial" w:hAnsi="Arial" w:cs="Arial"/>
        </w:rPr>
        <w:t xml:space="preserve"> con caída brusca con impacto directo en la cabeza contra el piso </w:t>
      </w:r>
    </w:p>
    <w:p w:rsidR="007728FA" w:rsidRDefault="007728FA" w:rsidP="008516B9">
      <w:pPr>
        <w:spacing w:line="360" w:lineRule="auto"/>
        <w:jc w:val="both"/>
        <w:rPr>
          <w:rFonts w:ascii="Arial" w:hAnsi="Arial" w:cs="Arial"/>
        </w:rPr>
      </w:pPr>
      <w:r w:rsidRPr="00031DDE">
        <w:rPr>
          <w:rFonts w:ascii="Arial" w:hAnsi="Arial" w:cs="Arial"/>
          <w:b/>
        </w:rPr>
        <w:lastRenderedPageBreak/>
        <w:t xml:space="preserve">*lesión </w:t>
      </w:r>
      <w:r w:rsidR="00031DDE" w:rsidRPr="00031DDE">
        <w:rPr>
          <w:rFonts w:ascii="Arial" w:hAnsi="Arial" w:cs="Arial"/>
          <w:b/>
        </w:rPr>
        <w:t>predominante:</w:t>
      </w:r>
      <w:r>
        <w:rPr>
          <w:rFonts w:ascii="Arial" w:hAnsi="Arial" w:cs="Arial"/>
        </w:rPr>
        <w:t xml:space="preserve"> trauma craneoencefálico con hemorragia </w:t>
      </w:r>
    </w:p>
    <w:p w:rsidR="007728FA" w:rsidRDefault="007728FA" w:rsidP="008516B9">
      <w:pPr>
        <w:spacing w:line="360" w:lineRule="auto"/>
        <w:jc w:val="both"/>
        <w:rPr>
          <w:rFonts w:ascii="Arial" w:hAnsi="Arial" w:cs="Arial"/>
        </w:rPr>
      </w:pPr>
      <w:r w:rsidRPr="00031DDE">
        <w:rPr>
          <w:rFonts w:ascii="Arial" w:hAnsi="Arial" w:cs="Arial"/>
          <w:b/>
        </w:rPr>
        <w:t xml:space="preserve">Signo </w:t>
      </w:r>
      <w:r w:rsidR="00C1063C" w:rsidRPr="00031DDE">
        <w:rPr>
          <w:rFonts w:ascii="Arial" w:hAnsi="Arial" w:cs="Arial"/>
          <w:b/>
        </w:rPr>
        <w:t>teratológico</w:t>
      </w:r>
      <w:r w:rsidRPr="00031DDE">
        <w:rPr>
          <w:rFonts w:ascii="Arial" w:hAnsi="Arial" w:cs="Arial"/>
          <w:b/>
        </w:rPr>
        <w:t xml:space="preserve"> inmediato:</w:t>
      </w:r>
      <w:r>
        <w:rPr>
          <w:rFonts w:ascii="Arial" w:hAnsi="Arial" w:cs="Arial"/>
        </w:rPr>
        <w:t xml:space="preserve"> </w:t>
      </w:r>
      <w:r w:rsidR="00031DDE">
        <w:rPr>
          <w:rFonts w:ascii="Arial" w:hAnsi="Arial" w:cs="Arial"/>
        </w:rPr>
        <w:t>presencia</w:t>
      </w:r>
      <w:r>
        <w:rPr>
          <w:rFonts w:ascii="Arial" w:hAnsi="Arial" w:cs="Arial"/>
        </w:rPr>
        <w:t xml:space="preserve"> de sangrado fluido indica vitalidad al momento del impacto </w:t>
      </w:r>
    </w:p>
    <w:p w:rsidR="007728FA" w:rsidRDefault="007728FA" w:rsidP="008516B9">
      <w:pPr>
        <w:spacing w:line="360" w:lineRule="auto"/>
        <w:jc w:val="both"/>
        <w:rPr>
          <w:rFonts w:ascii="Arial" w:hAnsi="Arial" w:cs="Arial"/>
        </w:rPr>
      </w:pPr>
      <w:r w:rsidRPr="00031DDE">
        <w:rPr>
          <w:rFonts w:ascii="Arial" w:hAnsi="Arial" w:cs="Arial"/>
          <w:b/>
        </w:rPr>
        <w:t xml:space="preserve">*tiempo de </w:t>
      </w:r>
      <w:r w:rsidR="00031DDE" w:rsidRPr="00031DDE">
        <w:rPr>
          <w:rFonts w:ascii="Arial" w:hAnsi="Arial" w:cs="Arial"/>
          <w:b/>
        </w:rPr>
        <w:t>muerte:</w:t>
      </w:r>
      <w:r>
        <w:rPr>
          <w:rFonts w:ascii="Arial" w:hAnsi="Arial" w:cs="Arial"/>
        </w:rPr>
        <w:t xml:space="preserve"> 1 hora </w:t>
      </w:r>
    </w:p>
    <w:p w:rsidR="007728FA" w:rsidRDefault="00031DDE" w:rsidP="008516B9">
      <w:pPr>
        <w:spacing w:line="360" w:lineRule="auto"/>
        <w:jc w:val="both"/>
        <w:rPr>
          <w:rFonts w:ascii="Arial" w:hAnsi="Arial" w:cs="Arial"/>
        </w:rPr>
      </w:pPr>
      <w:r w:rsidRPr="00031DDE">
        <w:rPr>
          <w:rFonts w:ascii="Arial" w:hAnsi="Arial" w:cs="Arial"/>
          <w:b/>
        </w:rPr>
        <w:t xml:space="preserve">*mecanismo probable: </w:t>
      </w:r>
      <w:r>
        <w:rPr>
          <w:rFonts w:ascii="Arial" w:hAnsi="Arial" w:cs="Arial"/>
        </w:rPr>
        <w:t xml:space="preserve">caída de altura, perdida de equilibrio en estado de ebriedad con impacto directo contra el piso </w:t>
      </w:r>
    </w:p>
    <w:p w:rsidR="00031DDE" w:rsidRPr="008516B9" w:rsidRDefault="00031DDE" w:rsidP="008516B9">
      <w:pPr>
        <w:spacing w:line="360" w:lineRule="auto"/>
        <w:jc w:val="both"/>
        <w:rPr>
          <w:rFonts w:ascii="Arial" w:hAnsi="Arial" w:cs="Arial"/>
        </w:rPr>
      </w:pPr>
      <w:r w:rsidRPr="00031DDE">
        <w:rPr>
          <w:rFonts w:ascii="Arial" w:hAnsi="Arial" w:cs="Arial"/>
          <w:b/>
        </w:rPr>
        <w:t>*causa médico legal provisional:</w:t>
      </w:r>
      <w:r>
        <w:rPr>
          <w:rFonts w:ascii="Arial" w:hAnsi="Arial" w:cs="Arial"/>
        </w:rPr>
        <w:t xml:space="preserve"> traumatismo craneoencefálico grave con hemorragia aguda </w:t>
      </w:r>
    </w:p>
    <w:p w:rsidR="00F85C03" w:rsidRPr="008516B9" w:rsidRDefault="00F85C03" w:rsidP="008516B9">
      <w:pPr>
        <w:spacing w:line="360" w:lineRule="auto"/>
        <w:rPr>
          <w:rFonts w:ascii="Arial" w:hAnsi="Arial" w:cs="Arial"/>
        </w:rPr>
      </w:pPr>
    </w:p>
    <w:p w:rsidR="00F85C03" w:rsidRPr="008516B9" w:rsidRDefault="00F85C03" w:rsidP="008516B9">
      <w:pPr>
        <w:spacing w:line="360" w:lineRule="auto"/>
        <w:rPr>
          <w:rFonts w:ascii="Arial" w:hAnsi="Arial" w:cs="Arial"/>
        </w:rPr>
      </w:pPr>
    </w:p>
    <w:p w:rsidR="00F85C03" w:rsidRPr="008516B9" w:rsidRDefault="00F85C03" w:rsidP="008516B9">
      <w:pPr>
        <w:spacing w:line="360" w:lineRule="auto"/>
        <w:rPr>
          <w:rFonts w:ascii="Arial" w:hAnsi="Arial" w:cs="Arial"/>
        </w:rPr>
      </w:pPr>
    </w:p>
    <w:p w:rsidR="00F85C03" w:rsidRPr="00F85C03" w:rsidRDefault="00F85C03" w:rsidP="00F85C03">
      <w:pPr>
        <w:rPr>
          <w:rFonts w:ascii="Arial" w:hAnsi="Arial" w:cs="Arial"/>
        </w:rPr>
      </w:pPr>
    </w:p>
    <w:p w:rsidR="00F85C03" w:rsidRPr="00F85C03" w:rsidRDefault="00F85C03" w:rsidP="00F85C03">
      <w:pPr>
        <w:rPr>
          <w:rFonts w:ascii="Arial" w:hAnsi="Arial" w:cs="Arial"/>
        </w:rPr>
      </w:pPr>
    </w:p>
    <w:p w:rsidR="007728B9" w:rsidRPr="004B07E5" w:rsidRDefault="007728B9">
      <w:pPr>
        <w:rPr>
          <w:rFonts w:ascii="Arial" w:hAnsi="Arial" w:cs="Arial"/>
        </w:rPr>
      </w:pPr>
    </w:p>
    <w:sectPr w:rsidR="007728B9" w:rsidRPr="004B07E5" w:rsidSect="00D736DD">
      <w:pgSz w:w="12240" w:h="20160" w:code="5"/>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92281"/>
    <w:multiLevelType w:val="multilevel"/>
    <w:tmpl w:val="DB4A44E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382A6845"/>
    <w:multiLevelType w:val="multilevel"/>
    <w:tmpl w:val="C60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14826"/>
    <w:multiLevelType w:val="multilevel"/>
    <w:tmpl w:val="5378B3F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3E9803F3"/>
    <w:multiLevelType w:val="multilevel"/>
    <w:tmpl w:val="4964142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 w15:restartNumberingAfterBreak="0">
    <w:nsid w:val="48F06535"/>
    <w:multiLevelType w:val="multilevel"/>
    <w:tmpl w:val="FD22CF3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5B4F2B7A"/>
    <w:multiLevelType w:val="multilevel"/>
    <w:tmpl w:val="30B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84A41"/>
    <w:multiLevelType w:val="multilevel"/>
    <w:tmpl w:val="ADD8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9A0DE5"/>
    <w:multiLevelType w:val="multilevel"/>
    <w:tmpl w:val="76E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11B60"/>
    <w:multiLevelType w:val="multilevel"/>
    <w:tmpl w:val="D11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D77CA"/>
    <w:multiLevelType w:val="multilevel"/>
    <w:tmpl w:val="C65C3BAC"/>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num w:numId="1">
    <w:abstractNumId w:val="7"/>
  </w:num>
  <w:num w:numId="2">
    <w:abstractNumId w:val="1"/>
  </w:num>
  <w:num w:numId="3">
    <w:abstractNumId w:val="8"/>
  </w:num>
  <w:num w:numId="4">
    <w:abstractNumId w:val="5"/>
  </w:num>
  <w:num w:numId="5">
    <w:abstractNumId w:val="3"/>
  </w:num>
  <w:num w:numId="6">
    <w:abstractNumId w:val="0"/>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B87"/>
    <w:rsid w:val="00031DDE"/>
    <w:rsid w:val="00241B87"/>
    <w:rsid w:val="004B07E5"/>
    <w:rsid w:val="00634BE6"/>
    <w:rsid w:val="0064163A"/>
    <w:rsid w:val="00754A64"/>
    <w:rsid w:val="007728B9"/>
    <w:rsid w:val="007728FA"/>
    <w:rsid w:val="008516B9"/>
    <w:rsid w:val="00875A21"/>
    <w:rsid w:val="00A33302"/>
    <w:rsid w:val="00AF3EA3"/>
    <w:rsid w:val="00C1063C"/>
    <w:rsid w:val="00C46FE0"/>
    <w:rsid w:val="00D736DD"/>
    <w:rsid w:val="00F85C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294E"/>
  <w15:chartTrackingRefBased/>
  <w15:docId w15:val="{674F4072-675D-4EA3-B013-DDA704EF8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B87"/>
    <w:pPr>
      <w:spacing w:before="100" w:beforeAutospacing="1" w:after="100" w:afterAutospacing="1" w:line="256" w:lineRule="auto"/>
    </w:pPr>
    <w:rPr>
      <w:rFonts w:ascii="Calibri" w:eastAsia="Times New Roman" w:hAnsi="Calibri" w:cs="Times New Roman"/>
      <w:sz w:val="24"/>
      <w:szCs w:val="24"/>
      <w:lang w:eastAsia="es-ES"/>
    </w:rPr>
  </w:style>
  <w:style w:type="paragraph" w:styleId="Ttulo1">
    <w:name w:val="heading 1"/>
    <w:basedOn w:val="Normal"/>
    <w:next w:val="Normal"/>
    <w:link w:val="Ttulo1Car"/>
    <w:autoRedefine/>
    <w:uiPriority w:val="9"/>
    <w:qFormat/>
    <w:rsid w:val="00C46FE0"/>
    <w:pPr>
      <w:keepNext/>
      <w:keepLines/>
      <w:spacing w:before="240" w:after="0" w:line="360" w:lineRule="auto"/>
      <w:jc w:val="center"/>
      <w:outlineLvl w:val="0"/>
    </w:pPr>
    <w:rPr>
      <w:rFonts w:asciiTheme="majorHAnsi" w:eastAsiaTheme="majorEastAsia" w:hAnsiTheme="majorHAnsi" w:cstheme="majorBidi"/>
      <w:b/>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s-markdown-paragraph">
    <w:name w:val="ds-markdown-paragraph"/>
    <w:basedOn w:val="Normal"/>
    <w:rsid w:val="00241B87"/>
    <w:pPr>
      <w:spacing w:line="240" w:lineRule="auto"/>
    </w:pPr>
    <w:rPr>
      <w:rFonts w:ascii="Times New Roman" w:hAnsi="Times New Roman"/>
    </w:rPr>
  </w:style>
  <w:style w:type="character" w:customStyle="1" w:styleId="15">
    <w:name w:val="15"/>
    <w:basedOn w:val="Fuentedeprrafopredeter"/>
    <w:rsid w:val="00241B87"/>
    <w:rPr>
      <w:rFonts w:ascii="Calibri" w:hAnsi="Calibri" w:cs="Calibri" w:hint="default"/>
      <w:b/>
      <w:bCs/>
    </w:rPr>
  </w:style>
  <w:style w:type="paragraph" w:styleId="NormalWeb">
    <w:name w:val="Normal (Web)"/>
    <w:basedOn w:val="Normal"/>
    <w:uiPriority w:val="99"/>
    <w:semiHidden/>
    <w:unhideWhenUsed/>
    <w:rsid w:val="00A33302"/>
    <w:rPr>
      <w:rFonts w:ascii="Times New Roman" w:hAnsi="Times New Roman"/>
    </w:rPr>
  </w:style>
  <w:style w:type="character" w:customStyle="1" w:styleId="Ttulo1Car">
    <w:name w:val="Título 1 Car"/>
    <w:basedOn w:val="Fuentedeprrafopredeter"/>
    <w:link w:val="Ttulo1"/>
    <w:uiPriority w:val="9"/>
    <w:rsid w:val="00C46FE0"/>
    <w:rPr>
      <w:rFonts w:asciiTheme="majorHAnsi" w:eastAsiaTheme="majorEastAsia" w:hAnsiTheme="majorHAnsi" w:cstheme="majorBidi"/>
      <w:b/>
      <w:sz w:val="32"/>
      <w:szCs w:val="32"/>
      <w:lang w:eastAsia="es-ES"/>
    </w:rPr>
  </w:style>
  <w:style w:type="paragraph" w:styleId="TtuloTDC">
    <w:name w:val="TOC Heading"/>
    <w:basedOn w:val="Ttulo1"/>
    <w:next w:val="Normal"/>
    <w:uiPriority w:val="39"/>
    <w:unhideWhenUsed/>
    <w:qFormat/>
    <w:rsid w:val="00AF3EA3"/>
    <w:pPr>
      <w:spacing w:beforeAutospacing="0" w:afterAutospacing="0" w:line="259" w:lineRule="auto"/>
      <w:outlineLvl w:val="9"/>
    </w:pPr>
    <w:rPr>
      <w:lang w:val="es-BO" w:eastAsia="es-BO"/>
    </w:rPr>
  </w:style>
  <w:style w:type="paragraph" w:styleId="TDC1">
    <w:name w:val="toc 1"/>
    <w:basedOn w:val="Normal"/>
    <w:next w:val="Normal"/>
    <w:autoRedefine/>
    <w:uiPriority w:val="39"/>
    <w:unhideWhenUsed/>
    <w:rsid w:val="00634BE6"/>
  </w:style>
  <w:style w:type="character" w:styleId="Hipervnculo">
    <w:name w:val="Hyperlink"/>
    <w:basedOn w:val="Fuentedeprrafopredeter"/>
    <w:uiPriority w:val="99"/>
    <w:unhideWhenUsed/>
    <w:rsid w:val="00634B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7283">
      <w:bodyDiv w:val="1"/>
      <w:marLeft w:val="0"/>
      <w:marRight w:val="0"/>
      <w:marTop w:val="0"/>
      <w:marBottom w:val="0"/>
      <w:divBdr>
        <w:top w:val="none" w:sz="0" w:space="0" w:color="auto"/>
        <w:left w:val="none" w:sz="0" w:space="0" w:color="auto"/>
        <w:bottom w:val="none" w:sz="0" w:space="0" w:color="auto"/>
        <w:right w:val="none" w:sz="0" w:space="0" w:color="auto"/>
      </w:divBdr>
    </w:div>
    <w:div w:id="254704774">
      <w:bodyDiv w:val="1"/>
      <w:marLeft w:val="0"/>
      <w:marRight w:val="0"/>
      <w:marTop w:val="0"/>
      <w:marBottom w:val="0"/>
      <w:divBdr>
        <w:top w:val="none" w:sz="0" w:space="0" w:color="auto"/>
        <w:left w:val="none" w:sz="0" w:space="0" w:color="auto"/>
        <w:bottom w:val="none" w:sz="0" w:space="0" w:color="auto"/>
        <w:right w:val="none" w:sz="0" w:space="0" w:color="auto"/>
      </w:divBdr>
    </w:div>
    <w:div w:id="504519050">
      <w:bodyDiv w:val="1"/>
      <w:marLeft w:val="0"/>
      <w:marRight w:val="0"/>
      <w:marTop w:val="0"/>
      <w:marBottom w:val="0"/>
      <w:divBdr>
        <w:top w:val="none" w:sz="0" w:space="0" w:color="auto"/>
        <w:left w:val="none" w:sz="0" w:space="0" w:color="auto"/>
        <w:bottom w:val="none" w:sz="0" w:space="0" w:color="auto"/>
        <w:right w:val="none" w:sz="0" w:space="0" w:color="auto"/>
      </w:divBdr>
    </w:div>
    <w:div w:id="1142498669">
      <w:bodyDiv w:val="1"/>
      <w:marLeft w:val="0"/>
      <w:marRight w:val="0"/>
      <w:marTop w:val="0"/>
      <w:marBottom w:val="0"/>
      <w:divBdr>
        <w:top w:val="none" w:sz="0" w:space="0" w:color="auto"/>
        <w:left w:val="none" w:sz="0" w:space="0" w:color="auto"/>
        <w:bottom w:val="none" w:sz="0" w:space="0" w:color="auto"/>
        <w:right w:val="none" w:sz="0" w:space="0" w:color="auto"/>
      </w:divBdr>
    </w:div>
    <w:div w:id="1161775789">
      <w:bodyDiv w:val="1"/>
      <w:marLeft w:val="0"/>
      <w:marRight w:val="0"/>
      <w:marTop w:val="0"/>
      <w:marBottom w:val="0"/>
      <w:divBdr>
        <w:top w:val="none" w:sz="0" w:space="0" w:color="auto"/>
        <w:left w:val="none" w:sz="0" w:space="0" w:color="auto"/>
        <w:bottom w:val="none" w:sz="0" w:space="0" w:color="auto"/>
        <w:right w:val="none" w:sz="0" w:space="0" w:color="auto"/>
      </w:divBdr>
    </w:div>
    <w:div w:id="129933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7SeventhEdition.xsl" StyleName="APA" Version="7"/>
</file>

<file path=customXml/itemProps1.xml><?xml version="1.0" encoding="utf-8"?>
<ds:datastoreItem xmlns:ds="http://schemas.openxmlformats.org/officeDocument/2006/customXml" ds:itemID="{03DF703E-AE64-4FAE-A399-37A09511D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1866</Words>
  <Characters>10264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PC</cp:lastModifiedBy>
  <cp:revision>2</cp:revision>
  <dcterms:created xsi:type="dcterms:W3CDTF">2025-09-15T23:08:00Z</dcterms:created>
  <dcterms:modified xsi:type="dcterms:W3CDTF">2025-09-15T23:08:00Z</dcterms:modified>
</cp:coreProperties>
</file>