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120"/>
        <w:jc w:val="center"/>
        <w:rPr/>
      </w:pPr>
      <w:r>
        <w:rPr>
          <w:b/>
          <w:color w:val="1F4E79"/>
          <w:sz w:val="56"/>
        </w:rPr>
        <w:t>RAPPORT DE PROJET PROFESSIONNEL</w:t>
      </w:r>
    </w:p>
    <w:p>
      <w:pPr>
        <w:pStyle w:val="Normal"/>
        <w:spacing w:before="0" w:after="80"/>
        <w:jc w:val="center"/>
        <w:rPr/>
      </w:pPr>
      <w:r>
        <w:rPr>
          <w:b/>
          <w:color w:val="2E74B5"/>
          <w:sz w:val="40"/>
        </w:rPr>
        <w:t>Plateforme MLOps AgriTech</w:t>
      </w:r>
    </w:p>
    <w:p>
      <w:pPr>
        <w:pStyle w:val="Normal"/>
        <w:spacing w:before="0" w:after="800"/>
        <w:jc w:val="center"/>
        <w:rPr/>
      </w:pPr>
      <w:r>
        <w:rPr>
          <w:i/>
          <w:color w:val="595959"/>
          <w:sz w:val="26"/>
        </w:rPr>
        <w:t>Prédiction de rendements agricoles &amp; Prévision d'utilisation des pesticides</w:t>
      </w:r>
    </w:p>
    <w:p>
      <w:pPr>
        <w:pStyle w:val="Normal"/>
        <w:pBdr>
          <w:bottom w:val="single" w:sz="6" w:space="1" w:color="2E74B5"/>
        </w:pBdr>
        <w:spacing w:before="40" w:after="120"/>
        <w:rPr/>
      </w:pPr>
      <w:r>
        <w:rPr/>
      </w:r>
    </w:p>
    <w:p>
      <w:pPr>
        <w:pStyle w:val="Normal"/>
        <w:spacing w:before="0" w:after="60"/>
        <w:jc w:val="center"/>
        <w:rPr/>
      </w:pPr>
      <w:r>
        <w:rPr>
          <w:b/>
          <w:color w:val="2E74B5"/>
          <w:sz w:val="22"/>
        </w:rPr>
        <w:t>Auteur :</w:t>
      </w:r>
      <w:r>
        <w:rPr>
          <w:b/>
          <w:color w:val="2E74B5"/>
          <w:sz w:val="22"/>
        </w:rPr>
        <w:t>y</w:t>
      </w:r>
      <w:r>
        <w:rPr>
          <w:color w:val="595959"/>
          <w:sz w:val="22"/>
        </w:rPr>
        <w:t>ann L</w:t>
      </w:r>
      <w:r>
        <w:rPr>
          <w:color w:val="595959"/>
          <w:sz w:val="22"/>
        </w:rPr>
        <w:t>aurent</w:t>
      </w:r>
      <w:r>
        <w:rPr>
          <w:color w:val="595959"/>
          <w:sz w:val="22"/>
        </w:rPr>
        <w:t xml:space="preserve">, </w:t>
      </w:r>
      <w:r>
        <w:rPr>
          <w:color w:val="595959"/>
          <w:sz w:val="22"/>
        </w:rPr>
        <w:t>Clara Destrebecq, Geoffrey Riviere</w:t>
      </w:r>
    </w:p>
    <w:p>
      <w:pPr>
        <w:pStyle w:val="Normal"/>
        <w:spacing w:before="0" w:after="60"/>
        <w:jc w:val="center"/>
        <w:rPr/>
      </w:pPr>
      <w:r>
        <w:rPr>
          <w:b/>
          <w:color w:val="2E74B5"/>
          <w:sz w:val="22"/>
        </w:rPr>
        <w:t xml:space="preserve">Formation : </w:t>
      </w:r>
      <w:r>
        <w:rPr>
          <w:color w:val="595959"/>
          <w:sz w:val="22"/>
        </w:rPr>
        <w:t>Master 1 — Innovation Numérique (M1INNO)</w:t>
      </w:r>
    </w:p>
    <w:p>
      <w:pPr>
        <w:pStyle w:val="Normal"/>
        <w:spacing w:before="0" w:after="60"/>
        <w:jc w:val="center"/>
        <w:rPr/>
      </w:pPr>
      <w:r>
        <w:rPr>
          <w:b/>
          <w:color w:val="2E74B5"/>
          <w:sz w:val="22"/>
        </w:rPr>
        <w:t xml:space="preserve">Établissement : </w:t>
      </w:r>
      <w:r>
        <w:rPr>
          <w:color w:val="595959"/>
          <w:sz w:val="22"/>
        </w:rPr>
        <w:t>École IT</w:t>
      </w:r>
    </w:p>
    <w:p>
      <w:pPr>
        <w:pStyle w:val="Normal"/>
        <w:spacing w:before="0" w:after="60"/>
        <w:jc w:val="center"/>
        <w:rPr/>
      </w:pPr>
      <w:r>
        <w:rPr>
          <w:b/>
          <w:color w:val="2E74B5"/>
          <w:sz w:val="22"/>
        </w:rPr>
        <w:t xml:space="preserve">Année : </w:t>
      </w:r>
      <w:r>
        <w:rPr>
          <w:color w:val="595959"/>
          <w:sz w:val="22"/>
        </w:rPr>
        <w:t>2025–2026</w:t>
      </w:r>
    </w:p>
    <w:p>
      <w:pPr>
        <w:pStyle w:val="Normal"/>
        <w:spacing w:before="0" w:after="60"/>
        <w:jc w:val="center"/>
        <w:rPr/>
      </w:pPr>
      <w:r>
        <w:rPr>
          <w:b/>
          <w:color w:val="2E74B5"/>
          <w:sz w:val="22"/>
        </w:rPr>
        <w:t xml:space="preserve">Date : </w:t>
      </w:r>
      <w:r>
        <w:rPr>
          <w:color w:val="595959"/>
          <w:sz w:val="22"/>
        </w:rPr>
        <w:t>11 June 2026</w:t>
      </w:r>
    </w:p>
    <w:p>
      <w:pPr>
        <w:pStyle w:val="Normal"/>
        <w:pBdr>
          <w:bottom w:val="single" w:sz="6" w:space="1" w:color="2E74B5"/>
        </w:pBdr>
        <w:spacing w:before="40" w:after="120"/>
        <w:rPr/>
      </w:pPr>
      <w:r>
        <w:rPr/>
      </w:r>
    </w:p>
    <w:p>
      <w:pPr>
        <w:pStyle w:val="Normal"/>
        <w:rPr/>
      </w:pPr>
      <w:r>
        <w:rPr/>
      </w:r>
      <w:r>
        <w:br w:type="page"/>
      </w:r>
    </w:p>
    <w:p>
      <w:pPr>
        <w:pStyle w:val="Heading1"/>
        <w:spacing w:before="0" w:after="160"/>
        <w:rPr/>
      </w:pPr>
      <w:r>
        <w:rPr>
          <w:color w:val="2E74B5"/>
          <w:sz w:val="32"/>
        </w:rPr>
        <w:t>Résumé exécutif</w:t>
      </w:r>
    </w:p>
    <w:p>
      <w:pPr>
        <w:pStyle w:val="Normal"/>
        <w:spacing w:before="0" w:after="120"/>
        <w:ind w:hanging="0"/>
        <w:rPr/>
      </w:pPr>
      <w:r>
        <w:rPr>
          <w:sz w:val="21"/>
        </w:rPr>
        <w:t>Ce rapport présente la conception et le déploiement d'une plateforme MLOps complète dans le domaine de l'agriculture de précision. Le projet AgriTech M1INNO a été développé dans le cadre du Master 1 Innovation Numérique, avec pour objectif de démontrer la maîtrise de l'ensemble du cycle de vie d'un système de machine learning en production.</w:t>
      </w:r>
    </w:p>
    <w:p>
      <w:pPr>
        <w:pStyle w:val="Normal"/>
        <w:spacing w:before="0" w:after="120"/>
        <w:ind w:hanging="0"/>
        <w:rPr/>
      </w:pPr>
      <w:r>
        <w:rPr>
          <w:sz w:val="21"/>
        </w:rPr>
        <w:t>La plateforme intègre l'ingestion de données réelles issues de la FAO (Organisation des Nations Unies pour l'Alimentation et l'Agriculture), la simulation de capteurs IoT agricoles, deux modèles de machine learning (XGBoost et Prophet), une API REST de prédiction, un dashboard interactif, et une infrastructure de monitoring complète — le tout orchestré via Docker Compose et supervisé par une chaîne CI/CD automatisée.</w:t>
      </w:r>
    </w:p>
    <w:tbl>
      <w:tblPr>
        <w:tblStyle w:val="TableGrid"/>
        <w:tblW w:w="9122"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561"/>
        <w:gridCol w:w="4561"/>
      </w:tblGrid>
      <w:tr>
        <w:trPr/>
        <w:tc>
          <w:tcPr>
            <w:tcW w:w="456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Indicateur</w:t>
            </w:r>
          </w:p>
        </w:tc>
        <w:tc>
          <w:tcPr>
            <w:tcW w:w="456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Valeur</w:t>
            </w:r>
          </w:p>
        </w:tc>
      </w:tr>
      <w:tr>
        <w:trPr/>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Modèle de prédiction de rendement</w:t>
            </w:r>
          </w:p>
        </w:tc>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XGBoost — R² = 0.8643</w:t>
            </w:r>
          </w:p>
        </w:tc>
      </w:tr>
      <w:tr>
        <w:trPr/>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Erreur moyenne de prédiction (MAE)</w:t>
            </w:r>
          </w:p>
        </w:tc>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0.4775 t/ha</w:t>
            </w:r>
          </w:p>
        </w:tc>
      </w:tr>
      <w:tr>
        <w:trPr/>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Modèle de prévision pesticides</w:t>
            </w:r>
          </w:p>
        </w:tc>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Prophet — MAPE moyen = 14.87 %</w:t>
            </w:r>
          </w:p>
        </w:tc>
      </w:tr>
      <w:tr>
        <w:trPr/>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Nombre de parcelles agricoles</w:t>
            </w:r>
          </w:p>
        </w:tc>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60 (20 pays × 3 parcelles)</w:t>
            </w:r>
          </w:p>
        </w:tc>
      </w:tr>
      <w:tr>
        <w:trPr/>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Observations d'entraînement</w:t>
            </w:r>
          </w:p>
        </w:tc>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420 relevés capteurs (2010–2016)</w:t>
            </w:r>
          </w:p>
        </w:tc>
      </w:tr>
      <w:tr>
        <w:trPr/>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Données historiques pesticides</w:t>
            </w:r>
          </w:p>
        </w:tc>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4 349 entrées FAO — 168 pays — 1990–2016</w:t>
            </w:r>
          </w:p>
        </w:tc>
      </w:tr>
      <w:tr>
        <w:trPr/>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Services Docker déployés</w:t>
            </w:r>
          </w:p>
        </w:tc>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12 conteneurs</w:t>
            </w:r>
          </w:p>
        </w:tc>
      </w:tr>
      <w:tr>
        <w:trPr/>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Tests unitaires</w:t>
            </w:r>
          </w:p>
        </w:tc>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69 tests — 4 modules</w:t>
            </w:r>
          </w:p>
        </w:tc>
      </w:tr>
      <w:tr>
        <w:trPr/>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Couverture CI/CD</w:t>
            </w:r>
          </w:p>
        </w:tc>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Semantic-release, Pylint, Pytest</w:t>
            </w:r>
          </w:p>
        </w:tc>
      </w:tr>
    </w:tbl>
    <w:p>
      <w:pPr>
        <w:pStyle w:val="Normal"/>
        <w:rPr/>
      </w:pPr>
      <w:r>
        <w:rPr/>
      </w:r>
    </w:p>
    <w:p>
      <w:pPr>
        <w:pStyle w:val="Heading1"/>
        <w:spacing w:before="360" w:after="160"/>
        <w:rPr/>
      </w:pPr>
      <w:r>
        <w:rPr>
          <w:color w:val="2E74B5"/>
          <w:sz w:val="32"/>
        </w:rPr>
        <w:t>1. Contexte et objectifs du projet</w:t>
      </w:r>
    </w:p>
    <w:p>
      <w:pPr>
        <w:pStyle w:val="Heading2"/>
        <w:spacing w:before="240" w:after="100"/>
        <w:rPr/>
      </w:pPr>
      <w:r>
        <w:rPr>
          <w:color w:val="2F75B6"/>
          <w:sz w:val="26"/>
        </w:rPr>
        <w:t>1.1 Problématique</w:t>
      </w:r>
    </w:p>
    <w:p>
      <w:pPr>
        <w:pStyle w:val="Normal"/>
        <w:spacing w:before="0" w:after="120"/>
        <w:ind w:hanging="0"/>
        <w:rPr/>
      </w:pPr>
      <w:r>
        <w:rPr>
          <w:sz w:val="21"/>
        </w:rPr>
        <w:t>L'agriculture de précision est un domaine en forte croissance où les technologies de l'information jouent un rôle central. Les exploitants agricoles font face à une double contrainte : optimiser les rendements dans un contexte de changement climatique, tout en réduisant les intrants (pesticides, eau, engrais) pour des raisons économiques et environnementales.</w:t>
      </w:r>
    </w:p>
    <w:p>
      <w:pPr>
        <w:pStyle w:val="Normal"/>
        <w:spacing w:before="0" w:after="120"/>
        <w:ind w:hanging="0"/>
        <w:rPr/>
      </w:pPr>
      <w:r>
        <w:rPr>
          <w:sz w:val="21"/>
        </w:rPr>
        <w:t>La prédiction du rendement à partir de données multi-sources (sol, météo, historique phytosanitaire) permet d'anticiper les résultats et d'adapter les pratiques agricoles. La prévision de l'utilisation des pesticides permet d'identifier des tendances structurelles et d'orienter les politiques publiques.</w:t>
      </w:r>
    </w:p>
    <w:p>
      <w:pPr>
        <w:pStyle w:val="Heading2"/>
        <w:spacing w:before="240" w:after="100"/>
        <w:rPr/>
      </w:pPr>
      <w:r>
        <w:rPr>
          <w:color w:val="2F75B6"/>
          <w:sz w:val="26"/>
        </w:rPr>
        <w:t>1.2 Objectifs</w:t>
      </w:r>
    </w:p>
    <w:p>
      <w:pPr>
        <w:pStyle w:val="ListBullet"/>
        <w:numPr>
          <w:ilvl w:val="0"/>
          <w:numId w:val="1"/>
        </w:numPr>
        <w:spacing w:before="0" w:after="40"/>
        <w:ind w:hanging="360" w:start="283"/>
        <w:contextualSpacing/>
        <w:rPr/>
      </w:pPr>
      <w:r>
        <w:rPr>
          <w:sz w:val="21"/>
        </w:rPr>
        <w:t>Construire un pipeline MLOps complet, reproductible et déployable en production</w:t>
      </w:r>
    </w:p>
    <w:p>
      <w:pPr>
        <w:pStyle w:val="ListBullet"/>
        <w:numPr>
          <w:ilvl w:val="0"/>
          <w:numId w:val="1"/>
        </w:numPr>
        <w:spacing w:before="0" w:after="40"/>
        <w:ind w:hanging="360" w:start="283"/>
        <w:contextualSpacing/>
        <w:rPr/>
      </w:pPr>
      <w:r>
        <w:rPr>
          <w:sz w:val="21"/>
        </w:rPr>
        <w:t>Ingérer et transformer des données réelles (FAO) via Apache Spark</w:t>
      </w:r>
    </w:p>
    <w:p>
      <w:pPr>
        <w:pStyle w:val="ListBullet"/>
        <w:numPr>
          <w:ilvl w:val="0"/>
          <w:numId w:val="1"/>
        </w:numPr>
        <w:spacing w:before="0" w:after="40"/>
        <w:ind w:hanging="360" w:start="283"/>
        <w:contextualSpacing/>
        <w:rPr/>
      </w:pPr>
      <w:r>
        <w:rPr>
          <w:sz w:val="21"/>
        </w:rPr>
        <w:t>Développer deux modèles ML : prédiction de rendement (XGBoost) et prévision de série temporelle (Prophet)</w:t>
      </w:r>
    </w:p>
    <w:p>
      <w:pPr>
        <w:pStyle w:val="ListBullet"/>
        <w:numPr>
          <w:ilvl w:val="0"/>
          <w:numId w:val="1"/>
        </w:numPr>
        <w:spacing w:before="0" w:after="40"/>
        <w:ind w:hanging="360" w:start="283"/>
        <w:contextualSpacing/>
        <w:rPr/>
      </w:pPr>
      <w:r>
        <w:rPr>
          <w:sz w:val="21"/>
        </w:rPr>
        <w:t>Exposer les prédictions via une API REST documentée avec FastAPI</w:t>
      </w:r>
    </w:p>
    <w:p>
      <w:pPr>
        <w:pStyle w:val="ListBullet"/>
        <w:numPr>
          <w:ilvl w:val="0"/>
          <w:numId w:val="1"/>
        </w:numPr>
        <w:spacing w:before="0" w:after="40"/>
        <w:ind w:hanging="360" w:start="283"/>
        <w:contextualSpacing/>
        <w:rPr/>
      </w:pPr>
      <w:r>
        <w:rPr>
          <w:sz w:val="21"/>
        </w:rPr>
        <w:t>Visualiser les données et résultats via un dashboard Streamlit interactif</w:t>
      </w:r>
    </w:p>
    <w:p>
      <w:pPr>
        <w:pStyle w:val="ListBullet"/>
        <w:numPr>
          <w:ilvl w:val="0"/>
          <w:numId w:val="1"/>
        </w:numPr>
        <w:spacing w:before="0" w:after="40"/>
        <w:ind w:hanging="360" w:start="283"/>
        <w:contextualSpacing/>
        <w:rPr/>
      </w:pPr>
      <w:r>
        <w:rPr>
          <w:sz w:val="21"/>
        </w:rPr>
        <w:t>Assurer la traçabilité des expériences ML avec MLflow</w:t>
      </w:r>
    </w:p>
    <w:p>
      <w:pPr>
        <w:pStyle w:val="ListBullet"/>
        <w:numPr>
          <w:ilvl w:val="0"/>
          <w:numId w:val="1"/>
        </w:numPr>
        <w:spacing w:before="0" w:after="40"/>
        <w:ind w:hanging="360" w:start="283"/>
        <w:contextualSpacing/>
        <w:rPr/>
      </w:pPr>
      <w:r>
        <w:rPr>
          <w:sz w:val="21"/>
        </w:rPr>
        <w:t>Automatiser les pipelines avec Apache Airflow</w:t>
      </w:r>
    </w:p>
    <w:p>
      <w:pPr>
        <w:pStyle w:val="ListBullet"/>
        <w:numPr>
          <w:ilvl w:val="0"/>
          <w:numId w:val="1"/>
        </w:numPr>
        <w:spacing w:before="0" w:after="40"/>
        <w:ind w:hanging="360" w:start="283"/>
        <w:contextualSpacing/>
        <w:rPr/>
      </w:pPr>
      <w:r>
        <w:rPr>
          <w:sz w:val="21"/>
        </w:rPr>
        <w:t>Superviser l'ensemble avec Prometheus et Grafana</w:t>
      </w:r>
    </w:p>
    <w:p>
      <w:pPr>
        <w:pStyle w:val="ListBullet"/>
        <w:numPr>
          <w:ilvl w:val="0"/>
          <w:numId w:val="1"/>
        </w:numPr>
        <w:spacing w:before="0" w:after="40"/>
        <w:ind w:hanging="360" w:start="283"/>
        <w:contextualSpacing/>
        <w:rPr/>
      </w:pPr>
      <w:r>
        <w:rPr>
          <w:sz w:val="21"/>
        </w:rPr>
        <w:t>Garantir la qualité du code via CI/CD (tests, linting, semantic versioning)</w:t>
      </w:r>
    </w:p>
    <w:p>
      <w:pPr>
        <w:pStyle w:val="Heading2"/>
        <w:spacing w:before="240" w:after="100"/>
        <w:rPr/>
      </w:pPr>
      <w:r>
        <w:rPr>
          <w:color w:val="2F75B6"/>
          <w:sz w:val="26"/>
        </w:rPr>
        <w:t>1.3 Périmètre fonctionnel</w:t>
      </w:r>
    </w:p>
    <w:p>
      <w:pPr>
        <w:pStyle w:val="Normal"/>
        <w:spacing w:before="0" w:after="120"/>
        <w:ind w:hanging="0"/>
        <w:rPr/>
      </w:pPr>
      <w:r>
        <w:rPr>
          <w:sz w:val="21"/>
        </w:rPr>
        <w:t>Le projet couvre l'intégralité du cycle MLOps : de la collecte des données brutes jusqu'à la mise en production d'un service de prédiction accessible, en passant par le traitement, l'entraînement, l'évaluation, le déploiement et la supervision. Il ne s'agit pas d'un prototype de recherche mais d'une architecture orientée production, pensée pour être maintenue, évoluée et scalée.</w:t>
      </w:r>
    </w:p>
    <w:p>
      <w:pPr>
        <w:pStyle w:val="Normal"/>
        <w:rPr/>
      </w:pPr>
      <w:r>
        <w:rPr/>
      </w:r>
      <w:r>
        <w:br w:type="page"/>
      </w:r>
    </w:p>
    <w:p>
      <w:pPr>
        <w:pStyle w:val="Heading1"/>
        <w:spacing w:before="0" w:after="160"/>
        <w:rPr/>
      </w:pPr>
      <w:r>
        <w:rPr>
          <w:color w:val="2E74B5"/>
          <w:sz w:val="32"/>
        </w:rPr>
        <w:t>2. Architecture technique</w:t>
      </w:r>
    </w:p>
    <w:p>
      <w:pPr>
        <w:pStyle w:val="Heading2"/>
        <w:spacing w:before="240" w:after="100"/>
        <w:rPr/>
      </w:pPr>
      <w:r>
        <w:rPr>
          <w:color w:val="2F75B6"/>
          <w:sz w:val="26"/>
        </w:rPr>
        <w:t>2.1 Vue d'ensemble</w:t>
      </w:r>
    </w:p>
    <w:p>
      <w:pPr>
        <w:pStyle w:val="Normal"/>
        <w:spacing w:before="0" w:after="120"/>
        <w:ind w:hanging="0"/>
        <w:rPr/>
      </w:pPr>
      <w:r>
        <w:rPr>
          <w:sz w:val="21"/>
        </w:rPr>
        <w:t>L'ensemble de la plateforme est déployé via Docker Compose sur un seul hôte, avec un réseau interne dédié (agritech-net). Cette approche garantit l'isolation des services, la portabilité et la reproductibilité de l'environnement de déploiement.</w:t>
      </w:r>
    </w:p>
    <w:p>
      <w:pPr>
        <w:pStyle w:val="Normal"/>
        <w:spacing w:before="0" w:after="120"/>
        <w:ind w:hanging="0"/>
        <w:rPr/>
      </w:pPr>
      <w:r>
        <w:rPr>
          <w:sz w:val="21"/>
        </w:rPr>
        <w:t>L'architecture suit le patron classique des plateformes MLOps modernes : une couche de données (PostgreSQL), une couche de traitement (Spark), une couche d'orchestration (Airflow), une couche ML (MLflow + runners), une couche d'exposition (FastAPI) et une couche de supervision (Prometheus + Grafana).</w:t>
      </w:r>
    </w:p>
    <w:p>
      <w:pPr>
        <w:pStyle w:val="Heading2"/>
        <w:spacing w:before="240" w:after="100"/>
        <w:rPr/>
      </w:pPr>
      <w:r>
        <w:rPr>
          <w:color w:val="2F75B6"/>
          <w:sz w:val="26"/>
        </w:rPr>
        <w:t>2.2 Services Docker</w:t>
      </w:r>
    </w:p>
    <w:tbl>
      <w:tblPr>
        <w:tblStyle w:val="TableGrid"/>
        <w:tblW w:w="912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280"/>
        <w:gridCol w:w="2280"/>
        <w:gridCol w:w="2280"/>
        <w:gridCol w:w="2280"/>
      </w:tblGrid>
      <w:tr>
        <w:trPr/>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Service</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Image / Build</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Port(s)</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Rôle</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postgres</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postgres:16</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5432</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Base de données principale (données projet)</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postgres-airflow</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postgres:16</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Métadonnées Airflow (interne)</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postgres-mlflow</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postgres:16</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Backend MLflow (interne)</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spark-master</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apache/spark:3.5.3</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8080, 7077</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Interface Spark + point d'entrée cluster</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spark-worker</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apache/spark:3.5.3</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Worker de calcul Spark (6 Go, 4 cœurs)</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mlflow</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Dockerfile.mlflow</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5000</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Tracking server + model registry</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airflow-webserver</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Dockerfile.airflow</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8081</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Interface Airflow</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airflow-scheduler</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Dockerfile.airflow</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Orchestration des DAGs</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api</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Dockerfile.api</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8000</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API FastAPI de prédiction</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dashboard</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Dockerfile.dashboard</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8501</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Dashboard Streamlit</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prometheus</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prom/prometheus:2.53</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9090</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Collecte des métriques</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grafana</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grafana/grafana:11.1</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3000</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Visualisation des métriques</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ml-runner</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Dockerfile.ml</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Pipeline ML (one-shot, profil ml)</w:t>
            </w:r>
          </w:p>
        </w:tc>
      </w:tr>
    </w:tbl>
    <w:p>
      <w:pPr>
        <w:pStyle w:val="Normal"/>
        <w:rPr/>
      </w:pPr>
      <w:r>
        <w:rPr/>
      </w:r>
    </w:p>
    <w:p>
      <w:pPr>
        <w:pStyle w:val="Heading2"/>
        <w:spacing w:before="240" w:after="100"/>
        <w:rPr/>
      </w:pPr>
      <w:r>
        <w:rPr>
          <w:color w:val="2F75B6"/>
          <w:sz w:val="26"/>
        </w:rPr>
        <w:t>2.3 Flux de données</w:t>
      </w:r>
    </w:p>
    <w:p>
      <w:pPr>
        <w:pStyle w:val="Normal"/>
        <w:spacing w:before="0" w:after="120"/>
        <w:ind w:hanging="0"/>
        <w:rPr/>
      </w:pPr>
      <w:r>
        <w:rPr>
          <w:sz w:val="21"/>
        </w:rPr>
        <w:t>Le flux de données suit un chemin linéaire depuis la source brute jusqu'à l'utilisateur final :</w:t>
      </w:r>
    </w:p>
    <w:p>
      <w:pPr>
        <w:pStyle w:val="ListBullet"/>
        <w:numPr>
          <w:ilvl w:val="0"/>
          <w:numId w:val="1"/>
        </w:numPr>
        <w:spacing w:before="0" w:after="40"/>
        <w:ind w:hanging="360" w:start="283"/>
        <w:contextualSpacing/>
        <w:rPr/>
      </w:pPr>
      <w:r>
        <w:rPr>
          <w:sz w:val="21"/>
        </w:rPr>
        <w:t>1. Ingestion : le fichier CSV FAO (pesticides.csv) est lu par Spark et converti en Parquet optimisé.</w:t>
      </w:r>
    </w:p>
    <w:p>
      <w:pPr>
        <w:pStyle w:val="ListBullet"/>
        <w:numPr>
          <w:ilvl w:val="0"/>
          <w:numId w:val="1"/>
        </w:numPr>
        <w:spacing w:before="0" w:after="40"/>
        <w:ind w:hanging="360" w:start="283"/>
        <w:contextualSpacing/>
        <w:rPr/>
      </w:pPr>
      <w:r>
        <w:rPr>
          <w:sz w:val="21"/>
        </w:rPr>
        <w:t>2. Transformation : Spark calcule les features dérivées (YoY growth, MA5, normalisation) et écrit dans PostgreSQL via JDBC.</w:t>
      </w:r>
    </w:p>
    <w:p>
      <w:pPr>
        <w:pStyle w:val="ListBullet"/>
        <w:numPr>
          <w:ilvl w:val="0"/>
          <w:numId w:val="1"/>
        </w:numPr>
        <w:spacing w:before="0" w:after="40"/>
        <w:ind w:hanging="360" w:start="283"/>
        <w:contextualSpacing/>
        <w:rPr/>
      </w:pPr>
      <w:r>
        <w:rPr>
          <w:sz w:val="21"/>
        </w:rPr>
        <w:t>3. Simulation IoT : simulate_data.py génère des données de capteurs synthétiques corrélées aux données réelles.</w:t>
      </w:r>
    </w:p>
    <w:p>
      <w:pPr>
        <w:pStyle w:val="ListBullet"/>
        <w:numPr>
          <w:ilvl w:val="0"/>
          <w:numId w:val="1"/>
        </w:numPr>
        <w:spacing w:before="0" w:after="40"/>
        <w:ind w:hanging="360" w:start="283"/>
        <w:contextualSpacing/>
        <w:rPr/>
      </w:pPr>
      <w:r>
        <w:rPr>
          <w:sz w:val="21"/>
        </w:rPr>
        <w:t>4. Entraînement : train_xgboost.py et train_prophet.py lisent PostgreSQL, entraînent les modèles et loguent les artefacts dans MLflow.</w:t>
      </w:r>
    </w:p>
    <w:p>
      <w:pPr>
        <w:pStyle w:val="ListBullet"/>
        <w:numPr>
          <w:ilvl w:val="0"/>
          <w:numId w:val="1"/>
        </w:numPr>
        <w:spacing w:before="0" w:after="40"/>
        <w:ind w:hanging="360" w:start="283"/>
        <w:contextualSpacing/>
        <w:rPr/>
      </w:pPr>
      <w:r>
        <w:rPr>
          <w:sz w:val="21"/>
        </w:rPr>
        <w:t>5. Exposition : l'API FastAPI charge le modèle depuis MLflow et sert les prédictions via REST.</w:t>
      </w:r>
    </w:p>
    <w:p>
      <w:pPr>
        <w:pStyle w:val="ListBullet"/>
        <w:numPr>
          <w:ilvl w:val="0"/>
          <w:numId w:val="1"/>
        </w:numPr>
        <w:spacing w:before="0" w:after="40"/>
        <w:ind w:hanging="360" w:start="283"/>
        <w:contextualSpacing/>
        <w:rPr/>
      </w:pPr>
      <w:r>
        <w:rPr>
          <w:sz w:val="21"/>
        </w:rPr>
        <w:t>6. Visualisation : le dashboard Streamlit interroge l'API et la base de données pour les graphiques interactifs.</w:t>
      </w:r>
    </w:p>
    <w:p>
      <w:pPr>
        <w:pStyle w:val="ListBullet"/>
        <w:numPr>
          <w:ilvl w:val="0"/>
          <w:numId w:val="1"/>
        </w:numPr>
        <w:spacing w:before="0" w:after="40"/>
        <w:ind w:hanging="360" w:start="283"/>
        <w:contextualSpacing/>
        <w:rPr/>
      </w:pPr>
      <w:r>
        <w:rPr>
          <w:sz w:val="21"/>
        </w:rPr>
        <w:t>7. Supervision : Prometheus collecte les métriques de l'API toutes les 15 secondes, Grafana les visualise.</w:t>
      </w:r>
    </w:p>
    <w:p>
      <w:pPr>
        <w:pStyle w:val="Heading2"/>
        <w:spacing w:before="240" w:after="100"/>
        <w:rPr/>
      </w:pPr>
      <w:r>
        <w:rPr>
          <w:color w:val="2F75B6"/>
          <w:sz w:val="26"/>
        </w:rPr>
        <w:t>2.4 Schéma de base de données</w:t>
      </w:r>
    </w:p>
    <w:p>
      <w:pPr>
        <w:pStyle w:val="Normal"/>
        <w:spacing w:before="0" w:after="120"/>
        <w:ind w:hanging="0"/>
        <w:rPr/>
      </w:pPr>
      <w:r>
        <w:rPr>
          <w:sz w:val="21"/>
        </w:rPr>
        <w:t>La base de données PostgreSQL du projet contient 5 tables métier principales, conçues pour stocker à la fois les données de référence et les résultats des modèles ML :</w:t>
      </w:r>
    </w:p>
    <w:tbl>
      <w:tblPr>
        <w:tblStyle w:val="TableGrid"/>
        <w:tblW w:w="9123"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041"/>
        <w:gridCol w:w="3041"/>
        <w:gridCol w:w="3041"/>
      </w:tblGrid>
      <w:tr>
        <w:trPr/>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Table</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Colonnes clés</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Contenu</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parcels</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id, name, crop_type, area_ha, latitude, longitude, soil_type, country</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60 parcelles agricoles — 20 pays, 5 cultures</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sensor_readings</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parcel_id, recorded_at, soil_moisture, soil_temp_c, soil_ph, nitrogen_ppm, air_temp_c, humidity_pct, rainfall_mm, solar_rad_wm2</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420 relevés IoT annuels (2010–2016)</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yield_records</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parcel_id, harvest_year, yield_t_per_ha</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420 rendements observés (t/ha) — variable cible</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pesticide_use</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area, year, value_tonnes, yoy_growth_pct, ma5_tonnes, value_normalized, cagr_5y_pct, pct_vs_global_avg</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4 349 entrées FAO enrichies (features engineerées par Spark)</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ml_predictions</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parcel_id, model_name, model_version, predicted_yield, irrigation_rec_mm, confidence, predicted_at</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Historique des prédictions servies par l'API</w:t>
            </w:r>
          </w:p>
        </w:tc>
      </w:tr>
    </w:tbl>
    <w:p>
      <w:pPr>
        <w:pStyle w:val="Normal"/>
        <w:rPr/>
      </w:pPr>
      <w:r>
        <w:rPr/>
      </w:r>
    </w:p>
    <w:p>
      <w:pPr>
        <w:pStyle w:val="Normal"/>
        <w:rPr/>
      </w:pPr>
      <w:r>
        <w:rPr/>
      </w:r>
      <w:r>
        <w:br w:type="page"/>
      </w:r>
    </w:p>
    <w:p>
      <w:pPr>
        <w:pStyle w:val="Heading1"/>
        <w:spacing w:before="0" w:after="160"/>
        <w:rPr/>
      </w:pPr>
      <w:r>
        <w:rPr>
          <w:color w:val="2E74B5"/>
          <w:sz w:val="32"/>
        </w:rPr>
        <w:t>3. Sources et description des données</w:t>
      </w:r>
    </w:p>
    <w:p>
      <w:pPr>
        <w:pStyle w:val="Heading2"/>
        <w:spacing w:before="240" w:after="100"/>
        <w:rPr/>
      </w:pPr>
      <w:r>
        <w:rPr>
          <w:color w:val="2F75B6"/>
          <w:sz w:val="26"/>
        </w:rPr>
        <w:t>3.1 Données FAO — Utilisation des pesticides</w:t>
      </w:r>
    </w:p>
    <w:p>
      <w:pPr>
        <w:pStyle w:val="Normal"/>
        <w:spacing w:before="0" w:after="120"/>
        <w:ind w:hanging="0"/>
        <w:rPr/>
      </w:pPr>
      <w:r>
        <w:rPr>
          <w:sz w:val="21"/>
        </w:rPr>
        <w:t>La source de données principale est le fichier officiel de la FAO (Organisation des Nations Unies pour l'Alimentation et l'Agriculture) relatif à l'utilisation mondiale des pesticides. Ce dataset est publiquement disponible sur FAOSTAT (fao.org/faostat).</w:t>
      </w:r>
    </w:p>
    <w:tbl>
      <w:tblPr>
        <w:tblStyle w:val="TableGrid"/>
        <w:tblW w:w="9122"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561"/>
        <w:gridCol w:w="4561"/>
      </w:tblGrid>
      <w:tr>
        <w:trPr/>
        <w:tc>
          <w:tcPr>
            <w:tcW w:w="456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Caractéristique</w:t>
            </w:r>
          </w:p>
        </w:tc>
        <w:tc>
          <w:tcPr>
            <w:tcW w:w="456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Valeur</w:t>
            </w:r>
          </w:p>
        </w:tc>
      </w:tr>
      <w:tr>
        <w:trPr/>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Nom du fichier</w:t>
            </w:r>
          </w:p>
        </w:tc>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pesticides.csv</w:t>
            </w:r>
          </w:p>
        </w:tc>
      </w:tr>
      <w:tr>
        <w:trPr/>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Source</w:t>
            </w:r>
          </w:p>
        </w:tc>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FAOSTAT — FAO Division des statistiques</w:t>
            </w:r>
          </w:p>
        </w:tc>
      </w:tr>
      <w:tr>
        <w:trPr/>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Nombre d'enregistrements</w:t>
            </w:r>
          </w:p>
        </w:tc>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4 349 lignes</w:t>
            </w:r>
          </w:p>
        </w:tc>
      </w:tr>
      <w:tr>
        <w:trPr/>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Couverture géographique</w:t>
            </w:r>
          </w:p>
        </w:tc>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168 pays</w:t>
            </w:r>
          </w:p>
        </w:tc>
      </w:tr>
      <w:tr>
        <w:trPr/>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Période temporelle</w:t>
            </w:r>
          </w:p>
        </w:tc>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1990–2016 (27 ans)</w:t>
            </w:r>
          </w:p>
        </w:tc>
      </w:tr>
      <w:tr>
        <w:trPr/>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Unité de mesure</w:t>
            </w:r>
          </w:p>
        </w:tc>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Tonnes de matières actives (t.m.a.)</w:t>
            </w:r>
          </w:p>
        </w:tc>
      </w:tr>
      <w:tr>
        <w:trPr/>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Variable mesurée</w:t>
            </w:r>
          </w:p>
        </w:tc>
        <w:tc>
          <w:tcPr>
            <w:tcW w:w="456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Pesticides (total) — insecticides, herbicides, fongicides confondus</w:t>
            </w:r>
          </w:p>
        </w:tc>
      </w:tr>
      <w:tr>
        <w:trPr/>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Format</w:t>
            </w:r>
          </w:p>
        </w:tc>
        <w:tc>
          <w:tcPr>
            <w:tcW w:w="456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CSV — 7 colonnes : Domain, Area, Element, Item, Year, Unit, Value</w:t>
            </w:r>
          </w:p>
        </w:tc>
      </w:tr>
    </w:tbl>
    <w:p>
      <w:pPr>
        <w:pStyle w:val="Normal"/>
        <w:rPr/>
      </w:pPr>
      <w:r>
        <w:rPr/>
      </w:r>
    </w:p>
    <w:p>
      <w:pPr>
        <w:pStyle w:val="Heading2"/>
        <w:spacing w:before="240" w:after="100"/>
        <w:rPr/>
      </w:pPr>
      <w:r>
        <w:rPr>
          <w:color w:val="2F75B6"/>
          <w:sz w:val="26"/>
        </w:rPr>
        <w:t>3.2 Feature engineering des données pesticides (Apache Spark)</w:t>
      </w:r>
    </w:p>
    <w:p>
      <w:pPr>
        <w:pStyle w:val="Normal"/>
        <w:spacing w:before="0" w:after="120"/>
        <w:ind w:hanging="0"/>
        <w:rPr/>
      </w:pPr>
      <w:r>
        <w:rPr>
          <w:sz w:val="21"/>
        </w:rPr>
        <w:t>Les données brutes FAO sont enrichies par un pipeline Spark qui calcule les indicateurs dérivés suivants pour chaque couple (pays, année) :</w:t>
      </w:r>
    </w:p>
    <w:tbl>
      <w:tblPr>
        <w:tblStyle w:val="TableGrid"/>
        <w:tblW w:w="9123"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041"/>
        <w:gridCol w:w="3041"/>
        <w:gridCol w:w="3041"/>
      </w:tblGrid>
      <w:tr>
        <w:trPr/>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Feature calculée</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Formule / Méthode</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Intérêt agronomique</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yoy_growth_pct</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((valeur_n - valeur_n-1) / valeur_n-1) × 100</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Détecte les hausses/baisses brutales d'intrants</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ma5_tonnes</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Moyenne glissante sur 5 ans</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Lisse la saisonnalité — tendance structurelle</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cagr_5y_pct</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Taux de croissance annuel composé 5 ans</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Mesure la dynamique d'intensification</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value_normalized</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Min-Max sur l'ensemble des pays pour l'année N</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Comparaison relative internationale</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pct_vs_global_avg</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(valeur_pays / moy_mondiale) × 100</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Positionnement par rapport à la norme mondiale</w:t>
            </w:r>
          </w:p>
        </w:tc>
      </w:tr>
    </w:tbl>
    <w:p>
      <w:pPr>
        <w:pStyle w:val="Normal"/>
        <w:rPr/>
      </w:pPr>
      <w:r>
        <w:rPr/>
      </w:r>
    </w:p>
    <w:p>
      <w:pPr>
        <w:pStyle w:val="Heading2"/>
        <w:spacing w:before="240" w:after="100"/>
        <w:rPr/>
      </w:pPr>
      <w:r>
        <w:rPr>
          <w:color w:val="2F75B6"/>
          <w:sz w:val="26"/>
        </w:rPr>
        <w:t>3.3 Données IoT simulées — Capteurs agricoles</w:t>
      </w:r>
    </w:p>
    <w:p>
      <w:pPr>
        <w:pStyle w:val="Normal"/>
        <w:spacing w:before="0" w:after="120"/>
        <w:ind w:hanging="0"/>
        <w:rPr/>
      </w:pPr>
      <w:r>
        <w:rPr>
          <w:sz w:val="21"/>
        </w:rPr>
        <w:t>En l'absence de données capteurs réelles publiquement disponibles à l'échelle requise, un générateur de données synthétiques a été développé (simulate_data.py). Les données simulées sont construites pour être statistiquement réalistes et corrélées aux profils climatiques réels de chaque pays, garantissant la cohérence agronomique du dataset d'entraînement.</w:t>
      </w:r>
    </w:p>
    <w:p>
      <w:pPr>
        <w:pStyle w:val="Heading3"/>
        <w:spacing w:before="160" w:after="80"/>
        <w:rPr/>
      </w:pPr>
      <w:r>
        <w:rPr>
          <w:b/>
          <w:sz w:val="22"/>
        </w:rPr>
        <w:t>Structure des 60 parcelles agricoles</w:t>
      </w:r>
    </w:p>
    <w:p>
      <w:pPr>
        <w:pStyle w:val="Normal"/>
        <w:spacing w:before="0" w:after="120"/>
        <w:ind w:hanging="0"/>
        <w:rPr/>
      </w:pPr>
      <w:r>
        <w:rPr>
          <w:sz w:val="21"/>
        </w:rPr>
        <w:t>Chaque pays dispose de 3 parcelles, chacune affectée aléatoirement à l'une des 5 cultures modélisées. Les coordonnées géographiques sont générées autour des centroïdes nationaux avec un bruit gaussien (±2°) pour simuler des emplacements réalistes.</w:t>
      </w:r>
    </w:p>
    <w:tbl>
      <w:tblPr>
        <w:tblStyle w:val="TableGrid"/>
        <w:tblW w:w="912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824"/>
        <w:gridCol w:w="1824"/>
        <w:gridCol w:w="1824"/>
        <w:gridCol w:w="1824"/>
        <w:gridCol w:w="1824"/>
      </w:tblGrid>
      <w:tr>
        <w:trPr/>
        <w:tc>
          <w:tcPr>
            <w:tcW w:w="1824"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Culture</w:t>
            </w:r>
          </w:p>
        </w:tc>
        <w:tc>
          <w:tcPr>
            <w:tcW w:w="1824"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Rendement de base</w:t>
            </w:r>
          </w:p>
        </w:tc>
        <w:tc>
          <w:tcPr>
            <w:tcW w:w="1824"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Temp. optimale</w:t>
            </w:r>
          </w:p>
        </w:tc>
        <w:tc>
          <w:tcPr>
            <w:tcW w:w="1824"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Pluie optimale</w:t>
            </w:r>
          </w:p>
        </w:tc>
        <w:tc>
          <w:tcPr>
            <w:tcW w:w="1824"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Caractéristique</w:t>
            </w:r>
          </w:p>
        </w:tc>
      </w:tr>
      <w:tr>
        <w:trPr/>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Blé (wheat)</w:t>
            </w:r>
          </w:p>
        </w:tc>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3.5 t/ha</w:t>
            </w:r>
          </w:p>
        </w:tc>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15 °C</w:t>
            </w:r>
          </w:p>
        </w:tc>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500 mm</w:t>
            </w:r>
          </w:p>
        </w:tc>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Culture tempérée — sensible au gel tardif</w:t>
            </w:r>
          </w:p>
        </w:tc>
      </w:tr>
      <w:tr>
        <w:trPr/>
        <w:tc>
          <w:tcPr>
            <w:tcW w:w="1824"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Maïs (corn)</w:t>
            </w:r>
          </w:p>
        </w:tc>
        <w:tc>
          <w:tcPr>
            <w:tcW w:w="1824"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5.5 t/ha</w:t>
            </w:r>
          </w:p>
        </w:tc>
        <w:tc>
          <w:tcPr>
            <w:tcW w:w="1824"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22 °C</w:t>
            </w:r>
          </w:p>
        </w:tc>
        <w:tc>
          <w:tcPr>
            <w:tcW w:w="1824"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650 mm</w:t>
            </w:r>
          </w:p>
        </w:tc>
        <w:tc>
          <w:tcPr>
            <w:tcW w:w="1824"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Forte exigence hydrique en floraison</w:t>
            </w:r>
          </w:p>
        </w:tc>
      </w:tr>
      <w:tr>
        <w:trPr/>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Riz (rice)</w:t>
            </w:r>
          </w:p>
        </w:tc>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4.2 t/ha</w:t>
            </w:r>
          </w:p>
        </w:tc>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28 °C</w:t>
            </w:r>
          </w:p>
        </w:tc>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1 200 mm</w:t>
            </w:r>
          </w:p>
        </w:tc>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Culture inondée — optimum tropical</w:t>
            </w:r>
          </w:p>
        </w:tc>
      </w:tr>
      <w:tr>
        <w:trPr/>
        <w:tc>
          <w:tcPr>
            <w:tcW w:w="1824"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Soja (soybean)</w:t>
            </w:r>
          </w:p>
        </w:tc>
        <w:tc>
          <w:tcPr>
            <w:tcW w:w="1824"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2.8 t/ha</w:t>
            </w:r>
          </w:p>
        </w:tc>
        <w:tc>
          <w:tcPr>
            <w:tcW w:w="1824"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24 °C</w:t>
            </w:r>
          </w:p>
        </w:tc>
        <w:tc>
          <w:tcPr>
            <w:tcW w:w="1824"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700 mm</w:t>
            </w:r>
          </w:p>
        </w:tc>
        <w:tc>
          <w:tcPr>
            <w:tcW w:w="1824"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Fixateur d'azote — sensible à la sécheresse</w:t>
            </w:r>
          </w:p>
        </w:tc>
      </w:tr>
      <w:tr>
        <w:trPr/>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Tournesol (sunflower)</w:t>
            </w:r>
          </w:p>
        </w:tc>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2.0 t/ha</w:t>
            </w:r>
          </w:p>
        </w:tc>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20 °C</w:t>
            </w:r>
          </w:p>
        </w:tc>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450 mm</w:t>
            </w:r>
          </w:p>
        </w:tc>
        <w:tc>
          <w:tcPr>
            <w:tcW w:w="1824"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Tolérant à la sécheresse — profond enracinement</w:t>
            </w:r>
          </w:p>
        </w:tc>
      </w:tr>
    </w:tbl>
    <w:p>
      <w:pPr>
        <w:pStyle w:val="Normal"/>
        <w:rPr/>
      </w:pPr>
      <w:r>
        <w:rPr/>
      </w:r>
    </w:p>
    <w:p>
      <w:pPr>
        <w:pStyle w:val="Heading3"/>
        <w:spacing w:before="160" w:after="80"/>
        <w:rPr/>
      </w:pPr>
      <w:r>
        <w:rPr>
          <w:b/>
          <w:sz w:val="22"/>
        </w:rPr>
        <w:t>Modèle de simulation du rendement</w:t>
      </w:r>
    </w:p>
    <w:p>
      <w:pPr>
        <w:pStyle w:val="Normal"/>
        <w:spacing w:before="0" w:after="120"/>
        <w:ind w:hanging="0"/>
        <w:rPr/>
      </w:pPr>
      <w:r>
        <w:rPr>
          <w:sz w:val="21"/>
        </w:rPr>
        <w:t>Le rendement simulé intègre quatre effets additifs autour d'un rendement de base spécifique à la culture, garantissant la cohérence agronomique des données :</w:t>
      </w:r>
    </w:p>
    <w:p>
      <w:pPr>
        <w:pStyle w:val="ListBullet"/>
        <w:numPr>
          <w:ilvl w:val="0"/>
          <w:numId w:val="1"/>
        </w:numPr>
        <w:spacing w:before="0" w:after="40"/>
        <w:ind w:hanging="360" w:start="283"/>
        <w:contextualSpacing/>
        <w:rPr/>
      </w:pPr>
      <w:r>
        <w:rPr>
          <w:sz w:val="21"/>
        </w:rPr>
        <w:t>Effet pesticides : modèle log-linéaire — bénéfice marginal décroissant (base × 0.20 × ln(1 + 4·p_norm))</w:t>
      </w:r>
    </w:p>
    <w:p>
      <w:pPr>
        <w:pStyle w:val="ListBullet"/>
        <w:numPr>
          <w:ilvl w:val="0"/>
          <w:numId w:val="1"/>
        </w:numPr>
        <w:spacing w:before="0" w:after="40"/>
        <w:ind w:hanging="360" w:start="283"/>
        <w:contextualSpacing/>
        <w:rPr/>
      </w:pPr>
      <w:r>
        <w:rPr>
          <w:sz w:val="21"/>
        </w:rPr>
        <w:t>Effet sol : pénalité quadratique au-dessus/en-dessous du pH optimal 6.5, bonus linéaire pour l'humidité et l'azote</w:t>
      </w:r>
    </w:p>
    <w:p>
      <w:pPr>
        <w:pStyle w:val="ListBullet"/>
        <w:numPr>
          <w:ilvl w:val="0"/>
          <w:numId w:val="1"/>
        </w:numPr>
        <w:spacing w:before="0" w:after="40"/>
        <w:ind w:hanging="360" w:start="283"/>
        <w:contextualSpacing/>
        <w:rPr/>
      </w:pPr>
      <w:r>
        <w:rPr>
          <w:sz w:val="21"/>
        </w:rPr>
        <w:t>Effet climatique : pénalité quadratique sur l'écart à la température et à la pluviométrie optimales</w:t>
      </w:r>
    </w:p>
    <w:p>
      <w:pPr>
        <w:pStyle w:val="ListBullet"/>
        <w:numPr>
          <w:ilvl w:val="0"/>
          <w:numId w:val="1"/>
        </w:numPr>
        <w:spacing w:before="0" w:after="40"/>
        <w:ind w:hanging="360" w:start="283"/>
        <w:contextualSpacing/>
        <w:rPr/>
      </w:pPr>
      <w:r>
        <w:rPr>
          <w:sz w:val="21"/>
        </w:rPr>
        <w:t>Bruit stochastique : bruit gaussien (σ = 12 % du rendement de base) pour simuler la variabilité naturelle</w:t>
      </w:r>
    </w:p>
    <w:p>
      <w:pPr>
        <w:pStyle w:val="Heading2"/>
        <w:spacing w:before="240" w:after="100"/>
        <w:rPr/>
      </w:pPr>
      <w:r>
        <w:rPr>
          <w:color w:val="2F75B6"/>
          <w:sz w:val="26"/>
        </w:rPr>
        <w:t>3.4 Analyse statistique des données</w:t>
      </w:r>
    </w:p>
    <w:p>
      <w:pPr>
        <w:pStyle w:val="Normal"/>
        <w:spacing w:before="0" w:after="120"/>
        <w:ind w:hanging="0"/>
        <w:rPr/>
      </w:pPr>
      <w:r>
        <w:rPr>
          <w:sz w:val="21"/>
        </w:rPr>
        <w:t>L'analyse exploratoire du dataset d'entraînement (420 observations, 13 features, 1 variable cible) révèle les caractéristiques suivantes :</w:t>
      </w:r>
    </w:p>
    <w:tbl>
      <w:tblPr>
        <w:tblStyle w:val="TableGrid"/>
        <w:tblW w:w="912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520"/>
        <w:gridCol w:w="1519"/>
        <w:gridCol w:w="1521"/>
        <w:gridCol w:w="1520"/>
        <w:gridCol w:w="1519"/>
        <w:gridCol w:w="1521"/>
      </w:tblGrid>
      <w:tr>
        <w:trPr/>
        <w:tc>
          <w:tcPr>
            <w:tcW w:w="152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Variable</w:t>
            </w:r>
          </w:p>
        </w:tc>
        <w:tc>
          <w:tcPr>
            <w:tcW w:w="1519"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Min</w:t>
            </w:r>
          </w:p>
        </w:tc>
        <w:tc>
          <w:tcPr>
            <w:tcW w:w="152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Max</w:t>
            </w:r>
          </w:p>
        </w:tc>
        <w:tc>
          <w:tcPr>
            <w:tcW w:w="152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Moyenne</w:t>
            </w:r>
          </w:p>
        </w:tc>
        <w:tc>
          <w:tcPr>
            <w:tcW w:w="1519"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Écart-type</w:t>
            </w:r>
          </w:p>
        </w:tc>
        <w:tc>
          <w:tcPr>
            <w:tcW w:w="152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Corrélation avec rendement</w:t>
            </w:r>
          </w:p>
        </w:tc>
      </w:tr>
      <w:tr>
        <w:trPr/>
        <w:tc>
          <w:tcPr>
            <w:tcW w:w="152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yield_t_per_ha (cible)</w:t>
            </w:r>
          </w:p>
        </w:tc>
        <w:tc>
          <w:tcPr>
            <w:tcW w:w="1519"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0.10</w:t>
            </w:r>
          </w:p>
        </w:tc>
        <w:tc>
          <w:tcPr>
            <w:tcW w:w="152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8.52</w:t>
            </w:r>
          </w:p>
        </w:tc>
        <w:tc>
          <w:tcPr>
            <w:tcW w:w="152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1.32</w:t>
            </w:r>
          </w:p>
        </w:tc>
        <w:tc>
          <w:tcPr>
            <w:tcW w:w="1519"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1.26</w:t>
            </w:r>
          </w:p>
        </w:tc>
        <w:tc>
          <w:tcPr>
            <w:tcW w:w="152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w:t>
            </w:r>
          </w:p>
        </w:tc>
      </w:tr>
      <w:tr>
        <w:trPr/>
        <w:tc>
          <w:tcPr>
            <w:tcW w:w="152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soil_moisture</w:t>
            </w:r>
          </w:p>
        </w:tc>
        <w:tc>
          <w:tcPr>
            <w:tcW w:w="1519"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0.10</w:t>
            </w:r>
          </w:p>
        </w:tc>
        <w:tc>
          <w:tcPr>
            <w:tcW w:w="152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0.80</w:t>
            </w:r>
          </w:p>
        </w:tc>
        <w:tc>
          <w:tcPr>
            <w:tcW w:w="152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0.45</w:t>
            </w:r>
          </w:p>
        </w:tc>
        <w:tc>
          <w:tcPr>
            <w:tcW w:w="1519"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0.10</w:t>
            </w:r>
          </w:p>
        </w:tc>
        <w:tc>
          <w:tcPr>
            <w:tcW w:w="152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+0.15</w:t>
            </w:r>
          </w:p>
        </w:tc>
      </w:tr>
      <w:tr>
        <w:trPr/>
        <w:tc>
          <w:tcPr>
            <w:tcW w:w="152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soil_ph</w:t>
            </w:r>
          </w:p>
        </w:tc>
        <w:tc>
          <w:tcPr>
            <w:tcW w:w="1519"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5.0</w:t>
            </w:r>
          </w:p>
        </w:tc>
        <w:tc>
          <w:tcPr>
            <w:tcW w:w="152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8.0</w:t>
            </w:r>
          </w:p>
        </w:tc>
        <w:tc>
          <w:tcPr>
            <w:tcW w:w="152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6.50</w:t>
            </w:r>
          </w:p>
        </w:tc>
        <w:tc>
          <w:tcPr>
            <w:tcW w:w="1519"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0.40</w:t>
            </w:r>
          </w:p>
        </w:tc>
        <w:tc>
          <w:tcPr>
            <w:tcW w:w="152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-0.12</w:t>
            </w:r>
          </w:p>
        </w:tc>
      </w:tr>
      <w:tr>
        <w:trPr/>
        <w:tc>
          <w:tcPr>
            <w:tcW w:w="152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nitrogen_ppm</w:t>
            </w:r>
          </w:p>
        </w:tc>
        <w:tc>
          <w:tcPr>
            <w:tcW w:w="1519"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40</w:t>
            </w:r>
          </w:p>
        </w:tc>
        <w:tc>
          <w:tcPr>
            <w:tcW w:w="152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220</w:t>
            </w:r>
          </w:p>
        </w:tc>
        <w:tc>
          <w:tcPr>
            <w:tcW w:w="152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120</w:t>
            </w:r>
          </w:p>
        </w:tc>
        <w:tc>
          <w:tcPr>
            <w:tcW w:w="1519"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30</w:t>
            </w:r>
          </w:p>
        </w:tc>
        <w:tc>
          <w:tcPr>
            <w:tcW w:w="152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+0.18</w:t>
            </w:r>
          </w:p>
        </w:tc>
      </w:tr>
      <w:tr>
        <w:trPr/>
        <w:tc>
          <w:tcPr>
            <w:tcW w:w="152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air_temp_c</w:t>
            </w:r>
          </w:p>
        </w:tc>
        <w:tc>
          <w:tcPr>
            <w:tcW w:w="1519"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-5</w:t>
            </w:r>
          </w:p>
        </w:tc>
        <w:tc>
          <w:tcPr>
            <w:tcW w:w="152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35</w:t>
            </w:r>
          </w:p>
        </w:tc>
        <w:tc>
          <w:tcPr>
            <w:tcW w:w="152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18</w:t>
            </w:r>
          </w:p>
        </w:tc>
        <w:tc>
          <w:tcPr>
            <w:tcW w:w="1519"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9</w:t>
            </w:r>
          </w:p>
        </w:tc>
        <w:tc>
          <w:tcPr>
            <w:tcW w:w="152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-0.08 (non-linéaire)</w:t>
            </w:r>
          </w:p>
        </w:tc>
      </w:tr>
      <w:tr>
        <w:trPr/>
        <w:tc>
          <w:tcPr>
            <w:tcW w:w="152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rainfall_mm</w:t>
            </w:r>
          </w:p>
        </w:tc>
        <w:tc>
          <w:tcPr>
            <w:tcW w:w="1519"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100</w:t>
            </w:r>
          </w:p>
        </w:tc>
        <w:tc>
          <w:tcPr>
            <w:tcW w:w="152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4 500</w:t>
            </w:r>
          </w:p>
        </w:tc>
        <w:tc>
          <w:tcPr>
            <w:tcW w:w="152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900</w:t>
            </w:r>
          </w:p>
        </w:tc>
        <w:tc>
          <w:tcPr>
            <w:tcW w:w="1519"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650</w:t>
            </w:r>
          </w:p>
        </w:tc>
        <w:tc>
          <w:tcPr>
            <w:tcW w:w="152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+0.11 (non-linéaire)</w:t>
            </w:r>
          </w:p>
        </w:tc>
      </w:tr>
      <w:tr>
        <w:trPr/>
        <w:tc>
          <w:tcPr>
            <w:tcW w:w="152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solar_rad_wm2</w:t>
            </w:r>
          </w:p>
        </w:tc>
        <w:tc>
          <w:tcPr>
            <w:tcW w:w="1519"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90</w:t>
            </w:r>
          </w:p>
        </w:tc>
        <w:tc>
          <w:tcPr>
            <w:tcW w:w="152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280</w:t>
            </w:r>
          </w:p>
        </w:tc>
        <w:tc>
          <w:tcPr>
            <w:tcW w:w="152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180</w:t>
            </w:r>
          </w:p>
        </w:tc>
        <w:tc>
          <w:tcPr>
            <w:tcW w:w="1519"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30</w:t>
            </w:r>
          </w:p>
        </w:tc>
        <w:tc>
          <w:tcPr>
            <w:tcW w:w="152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+0.09</w:t>
            </w:r>
          </w:p>
        </w:tc>
      </w:tr>
      <w:tr>
        <w:trPr/>
        <w:tc>
          <w:tcPr>
            <w:tcW w:w="152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value_tonnes (pesticides)</w:t>
            </w:r>
          </w:p>
        </w:tc>
        <w:tc>
          <w:tcPr>
            <w:tcW w:w="1519"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w:t>
            </w:r>
          </w:p>
        </w:tc>
        <w:tc>
          <w:tcPr>
            <w:tcW w:w="152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1 807 000</w:t>
            </w:r>
          </w:p>
        </w:tc>
        <w:tc>
          <w:tcPr>
            <w:tcW w:w="152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20 300</w:t>
            </w:r>
          </w:p>
        </w:tc>
        <w:tc>
          <w:tcPr>
            <w:tcW w:w="1519"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117 700</w:t>
            </w:r>
          </w:p>
        </w:tc>
        <w:tc>
          <w:tcPr>
            <w:tcW w:w="152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+0.14</w:t>
            </w:r>
          </w:p>
        </w:tc>
      </w:tr>
      <w:tr>
        <w:trPr/>
        <w:tc>
          <w:tcPr>
            <w:tcW w:w="152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value_normalized</w:t>
            </w:r>
          </w:p>
        </w:tc>
        <w:tc>
          <w:tcPr>
            <w:tcW w:w="1519"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0.0</w:t>
            </w:r>
          </w:p>
        </w:tc>
        <w:tc>
          <w:tcPr>
            <w:tcW w:w="152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1.0</w:t>
            </w:r>
          </w:p>
        </w:tc>
        <w:tc>
          <w:tcPr>
            <w:tcW w:w="152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0.26</w:t>
            </w:r>
          </w:p>
        </w:tc>
        <w:tc>
          <w:tcPr>
            <w:tcW w:w="1519"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0.23</w:t>
            </w:r>
          </w:p>
        </w:tc>
        <w:tc>
          <w:tcPr>
            <w:tcW w:w="152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+0.22</w:t>
            </w:r>
          </w:p>
        </w:tc>
      </w:tr>
    </w:tbl>
    <w:p>
      <w:pPr>
        <w:pStyle w:val="Normal"/>
        <w:rPr/>
      </w:pPr>
      <w:r>
        <w:rPr/>
      </w:r>
    </w:p>
    <w:p>
      <w:pPr>
        <w:pStyle w:val="Normal"/>
        <w:pBdr>
          <w:top w:val="single" w:sz="12" w:space="4" w:color="2E74B5"/>
          <w:left w:val="single" w:sz="12" w:space="4" w:color="2E74B5"/>
          <w:bottom w:val="single" w:sz="12" w:space="4" w:color="2E74B5"/>
          <w:right w:val="single" w:sz="12" w:space="4" w:color="2E74B5"/>
        </w:pBdr>
        <w:spacing w:before="80" w:after="160"/>
        <w:ind w:start="227" w:end="227"/>
        <w:rPr/>
      </w:pPr>
      <w:r>
        <w:rPr>
          <w:i/>
          <w:color w:val="2E74B5"/>
          <w:sz w:val="20"/>
        </w:rPr>
        <w:t xml:space="preserve">📊  </w:t>
      </w:r>
      <w:r>
        <w:rPr>
          <w:i/>
          <w:color w:val="2E74B5"/>
          <w:sz w:val="20"/>
        </w:rPr>
        <w:t>Les corrélations linéaires apparaissent faibles car la relation rendement-features est fondamentalement non-linéaire (effets de seuil, interactions). C'est précisément pour cela que XGBoost (gradient boosting sur arbres de décision) est adapté : il capture ces non-linéarités sans hypothèse de forme fonctionnelle.</w:t>
      </w:r>
    </w:p>
    <w:p>
      <w:pPr>
        <w:pStyle w:val="Normal"/>
        <w:rPr/>
      </w:pPr>
      <w:r>
        <w:rPr/>
      </w:r>
      <w:r>
        <w:br w:type="page"/>
      </w:r>
    </w:p>
    <w:p>
      <w:pPr>
        <w:pStyle w:val="Heading1"/>
        <w:spacing w:before="0" w:after="160"/>
        <w:rPr/>
      </w:pPr>
      <w:r>
        <w:rPr>
          <w:color w:val="2E74B5"/>
          <w:sz w:val="32"/>
        </w:rPr>
        <w:t>4. Modèles de machine learning</w:t>
      </w:r>
    </w:p>
    <w:p>
      <w:pPr>
        <w:pStyle w:val="Heading2"/>
        <w:spacing w:before="240" w:after="100"/>
        <w:rPr/>
      </w:pPr>
      <w:r>
        <w:rPr>
          <w:color w:val="2F75B6"/>
          <w:sz w:val="26"/>
        </w:rPr>
        <w:t>4.1 Modèle XGBoost — Prédiction de rendement</w:t>
      </w:r>
    </w:p>
    <w:p>
      <w:pPr>
        <w:pStyle w:val="Heading3"/>
        <w:spacing w:before="160" w:after="80"/>
        <w:rPr/>
      </w:pPr>
      <w:r>
        <w:rPr>
          <w:b/>
          <w:sz w:val="22"/>
        </w:rPr>
        <w:t>Choix du modèle</w:t>
      </w:r>
    </w:p>
    <w:p>
      <w:pPr>
        <w:pStyle w:val="Normal"/>
        <w:spacing w:before="0" w:after="120"/>
        <w:ind w:hanging="0"/>
        <w:rPr/>
      </w:pPr>
      <w:r>
        <w:rPr>
          <w:sz w:val="21"/>
        </w:rPr>
        <w:t>XGBoost (eXtreme Gradient Boosting) a été sélectionné pour la prédiction du rendement agricole pour les raisons suivantes : robustesse face aux relations non-linéaires entre features, gestion native des valeurs manquantes, régularisation intégrée (L1/L2), interprétabilité via SHAP, et performance éprouvée sur des datasets tabulaires structurés.</w:t>
      </w:r>
    </w:p>
    <w:p>
      <w:pPr>
        <w:pStyle w:val="Heading3"/>
        <w:spacing w:before="160" w:after="80"/>
        <w:rPr/>
      </w:pPr>
      <w:r>
        <w:rPr>
          <w:b/>
          <w:sz w:val="22"/>
        </w:rPr>
        <w:t>Architecture et hyperparamètres</w:t>
      </w:r>
    </w:p>
    <w:tbl>
      <w:tblPr>
        <w:tblStyle w:val="TableGrid"/>
        <w:tblW w:w="9123"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041"/>
        <w:gridCol w:w="3041"/>
        <w:gridCol w:w="3041"/>
      </w:tblGrid>
      <w:tr>
        <w:trPr/>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Hyperparamètre</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Valeur</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Justification</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n_estimators</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300</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Nombre d'arbres — compromis biais/variance</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max_depth</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6</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Profondeur max — limite le sur-apprentissage</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learning_rate</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0.05</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Pas d'apprentissage faible — meilleure généralisation</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subsample</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0.8</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Sous-échantillonnage lignes — réduction variance</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colsample_bytree</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0.8</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Sous-échantillonnage features — diversité des arbres</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min_child_weight</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3</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Régularisation sur la taille des feuilles</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reg_alpha (L1)</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0.1</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Parcimonie — sélection de features implicite</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reg_lambda (L2)</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1.0</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Shrinkage — prévention sur-apprentissage</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random_state</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42</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Reproductibilité</w:t>
            </w:r>
          </w:p>
        </w:tc>
      </w:tr>
    </w:tbl>
    <w:p>
      <w:pPr>
        <w:pStyle w:val="Normal"/>
        <w:rPr/>
      </w:pPr>
      <w:r>
        <w:rPr/>
      </w:r>
    </w:p>
    <w:p>
      <w:pPr>
        <w:pStyle w:val="Heading3"/>
        <w:spacing w:before="160" w:after="80"/>
        <w:rPr/>
      </w:pPr>
      <w:r>
        <w:rPr>
          <w:b/>
          <w:sz w:val="22"/>
        </w:rPr>
        <w:t>Features d'entrée (13 variables)</w:t>
      </w:r>
    </w:p>
    <w:tbl>
      <w:tblPr>
        <w:tblStyle w:val="TableGrid"/>
        <w:tblW w:w="912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280"/>
        <w:gridCol w:w="2280"/>
        <w:gridCol w:w="2280"/>
        <w:gridCol w:w="2280"/>
      </w:tblGrid>
      <w:tr>
        <w:trPr/>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Feature</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Type</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Source</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Description</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crop_encoded</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Catégorielle encodée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Parcelle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Type de culture (0–4, LabelEncoder)</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year</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Temporelle</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Relevé</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Année du relevé (2010–2016)</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soil_moisture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Continue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Capteur</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Humidité volumétrique du sol [0–1]</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soil_ph</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Continue</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Capteur</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pH du sol (6.5 = optimal)</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nitrogen_ppm</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Continue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Capteur</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Teneur en azote disponible (ppm)</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air_temp_c</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Continue</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Capteur</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Température de l'air (°C)</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humidity_pct</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Continue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Capteur</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Humidité relative de l'air (%)</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rainfall_mm</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Continue</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Capteur</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Pluviométrie cumulée (mm)</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solar_rad_wm2</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Continue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Capteur</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Rayonnement solaire (W/m²)</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value_tonnes</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Continue</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FAO/Spark</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Utilisation totale de pesticides (t)</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yoy_growth_pct</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Continue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Spark</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Croissance annuelle pesticides (%)</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ma5_tonnes</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Continue</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Spark</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Moyenne mobile 5 ans pesticides</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value_normalized</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Continue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Spark</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Pesticides normalisés [0–1]</w:t>
            </w:r>
          </w:p>
        </w:tc>
      </w:tr>
    </w:tbl>
    <w:p>
      <w:pPr>
        <w:pStyle w:val="Normal"/>
        <w:rPr/>
      </w:pPr>
      <w:r>
        <w:rPr/>
      </w:r>
    </w:p>
    <w:p>
      <w:pPr>
        <w:pStyle w:val="Heading3"/>
        <w:spacing w:before="160" w:after="80"/>
        <w:rPr/>
      </w:pPr>
      <w:r>
        <w:rPr>
          <w:b/>
          <w:sz w:val="22"/>
        </w:rPr>
        <w:t>Résultats de performance</w:t>
      </w:r>
    </w:p>
    <w:tbl>
      <w:tblPr>
        <w:tblStyle w:val="TableGrid"/>
        <w:tblW w:w="912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280"/>
        <w:gridCol w:w="2280"/>
        <w:gridCol w:w="2280"/>
        <w:gridCol w:w="2280"/>
      </w:tblGrid>
      <w:tr>
        <w:trPr/>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Métrique</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Train (CV k=5)</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Test (hold-out 20%)</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Interprétation</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RMSE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0.6606 t/ha</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0.6606 t/ha</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Erreur quadratique moyenne — en unité cible</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MAE</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~0.48 t/ha</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0.4775 t/ha</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Erreur absolue — plus robuste aux outliers</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R²</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0.864 ± 0.002</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0.8643</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Variance expliquée — 86.4 % de la variabilité</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CV R² σ</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0.002</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Très faible — modèle stable et non sur-appris</w:t>
            </w:r>
          </w:p>
        </w:tc>
      </w:tr>
    </w:tbl>
    <w:p>
      <w:pPr>
        <w:pStyle w:val="Normal"/>
        <w:rPr/>
      </w:pPr>
      <w:r>
        <w:rPr/>
      </w:r>
    </w:p>
    <w:p>
      <w:pPr>
        <w:pStyle w:val="Normal"/>
        <w:pBdr>
          <w:top w:val="single" w:sz="12" w:space="4" w:color="2E74B5"/>
          <w:left w:val="single" w:sz="12" w:space="4" w:color="2E74B5"/>
          <w:bottom w:val="single" w:sz="12" w:space="4" w:color="2E74B5"/>
          <w:right w:val="single" w:sz="12" w:space="4" w:color="2E74B5"/>
        </w:pBdr>
        <w:spacing w:before="80" w:after="160"/>
        <w:ind w:start="227" w:end="227"/>
        <w:rPr/>
      </w:pPr>
      <w:r>
        <w:rPr>
          <w:i/>
          <w:color w:val="2E74B5"/>
          <w:sz w:val="20"/>
        </w:rPr>
        <w:t xml:space="preserve">📈  </w:t>
      </w:r>
      <w:r>
        <w:rPr>
          <w:i/>
          <w:color w:val="2E74B5"/>
          <w:sz w:val="20"/>
        </w:rPr>
        <w:t>Un R² de 0.864 sur données de test indique que le modèle capture 86.4 % de la variabilité des rendements. La stabilité en cross-validation (σ = 0.002) confirme l'absence de sur-apprentissage. Le RMSE de 0.66 t/ha représente une erreur relative de ~50 % sur la moyenne (1.32 t/ha), ce qui reflète la difficulté inhérente de la prédiction agricole.</w:t>
      </w:r>
    </w:p>
    <w:p>
      <w:pPr>
        <w:pStyle w:val="Heading3"/>
        <w:spacing w:before="160" w:after="80"/>
        <w:rPr/>
      </w:pPr>
      <w:r>
        <w:rPr>
          <w:b/>
          <w:sz w:val="22"/>
        </w:rPr>
        <w:t>Importance des features (SHAP)</w:t>
      </w:r>
    </w:p>
    <w:p>
      <w:pPr>
        <w:pStyle w:val="Normal"/>
        <w:spacing w:before="0" w:after="120"/>
        <w:ind w:hanging="0"/>
        <w:rPr/>
      </w:pPr>
      <w:r>
        <w:rPr>
          <w:sz w:val="21"/>
        </w:rPr>
        <w:t>L'analyse SHAP (SHapley Additive exPlanations) permet d'attribuer à chaque feature sa contribution réelle aux prédictions, en tenant compte des interactions. Le classement des features par |SHAP| moyen révèle :</w:t>
      </w:r>
    </w:p>
    <w:tbl>
      <w:tblPr>
        <w:tblStyle w:val="TableGrid"/>
        <w:tblW w:w="912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280"/>
        <w:gridCol w:w="2280"/>
        <w:gridCol w:w="2280"/>
        <w:gridCol w:w="2280"/>
      </w:tblGrid>
      <w:tr>
        <w:trPr/>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Rang</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Feature</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|SHAP| moyen</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Interprétation agronomique</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Type de culture (crop_encoded)</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~0.50</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Déterminant principal — potentiel génétique intrinsèque</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2</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Température de l'air</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~0.18</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Régule photosynthèse et phénologie</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3</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Pluviométrie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~0.15</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Conditionnement du remplissage du grain</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Rayonnement solaire</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~0.09</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Source d'énergie pour la biomasse</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5</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Pesticides normalisés</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~0.08</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Protection phytosanitaire — effet log-linéaire</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6</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Azote (ppm)</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~0.07</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Macro-nutriment limitant — constituant chlorophylle</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7</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pH du sol</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~0.06</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Disponibilité des nutriments — optimum 6.5</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8-13</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Variables secondaires</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&lt; 0.05</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Humidité sol, MA5 pesticides, YoY, etc.</w:t>
            </w:r>
          </w:p>
        </w:tc>
      </w:tr>
    </w:tbl>
    <w:p>
      <w:pPr>
        <w:pStyle w:val="Normal"/>
        <w:rPr/>
      </w:pPr>
      <w:r>
        <w:rPr/>
      </w:r>
    </w:p>
    <w:p>
      <w:pPr>
        <w:pStyle w:val="Heading2"/>
        <w:spacing w:before="240" w:after="100"/>
        <w:rPr/>
      </w:pPr>
      <w:r>
        <w:rPr>
          <w:color w:val="2F75B6"/>
          <w:sz w:val="26"/>
        </w:rPr>
        <w:t>4.2 Modèle Prophet — Prévision de l'utilisation des pesticides</w:t>
      </w:r>
    </w:p>
    <w:p>
      <w:pPr>
        <w:pStyle w:val="Heading3"/>
        <w:spacing w:before="160" w:after="80"/>
        <w:rPr/>
      </w:pPr>
      <w:r>
        <w:rPr>
          <w:b/>
          <w:sz w:val="22"/>
        </w:rPr>
        <w:t>Choix du modèle</w:t>
      </w:r>
    </w:p>
    <w:p>
      <w:pPr>
        <w:pStyle w:val="Normal"/>
        <w:spacing w:before="0" w:after="120"/>
        <w:ind w:hanging="0"/>
        <w:rPr/>
      </w:pPr>
      <w:r>
        <w:rPr>
          <w:sz w:val="21"/>
        </w:rPr>
        <w:t>Prophet (Facebook/Meta, 2017) a été retenu pour la prévision de séries temporelles annuelles de l'utilisation des pesticides. Ses avantages dans ce contexte sont : robustesse aux données manquantes, modélisation explicite des tendances non-linéaires (changepoints), intervalles de confiance probabilistes, et facilité d'utilisation sans réglage fin.</w:t>
      </w:r>
    </w:p>
    <w:p>
      <w:pPr>
        <w:pStyle w:val="Heading3"/>
        <w:spacing w:before="160" w:after="80"/>
        <w:rPr/>
      </w:pPr>
      <w:r>
        <w:rPr>
          <w:b/>
          <w:sz w:val="22"/>
        </w:rPr>
        <w:t>Stratégie d'entraînement et d'évaluation</w:t>
      </w:r>
    </w:p>
    <w:p>
      <w:pPr>
        <w:pStyle w:val="ListBullet"/>
        <w:numPr>
          <w:ilvl w:val="0"/>
          <w:numId w:val="1"/>
        </w:numPr>
        <w:spacing w:before="0" w:after="40"/>
        <w:ind w:hanging="360" w:start="283"/>
        <w:contextualSpacing/>
        <w:rPr/>
      </w:pPr>
      <w:r>
        <w:rPr>
          <w:sz w:val="21"/>
        </w:rPr>
        <w:t>Sélection : top 10 pays par volume total de pesticides</w:t>
      </w:r>
    </w:p>
    <w:p>
      <w:pPr>
        <w:pStyle w:val="ListBullet"/>
        <w:numPr>
          <w:ilvl w:val="0"/>
          <w:numId w:val="1"/>
        </w:numPr>
        <w:spacing w:before="0" w:after="40"/>
        <w:ind w:hanging="360" w:start="283"/>
        <w:contextualSpacing/>
        <w:rPr/>
      </w:pPr>
      <w:r>
        <w:rPr>
          <w:sz w:val="21"/>
        </w:rPr>
        <w:t>Entraînement : séries 1990–2013 (23 ans)</w:t>
      </w:r>
    </w:p>
    <w:p>
      <w:pPr>
        <w:pStyle w:val="ListBullet"/>
        <w:numPr>
          <w:ilvl w:val="0"/>
          <w:numId w:val="1"/>
        </w:numPr>
        <w:spacing w:before="0" w:after="40"/>
        <w:ind w:hanging="360" w:start="283"/>
        <w:contextualSpacing/>
        <w:rPr/>
      </w:pPr>
      <w:r>
        <w:rPr>
          <w:sz w:val="21"/>
        </w:rPr>
        <w:t>Évaluation : hold-out 2014–2016 (MAPE par pays)</w:t>
      </w:r>
    </w:p>
    <w:p>
      <w:pPr>
        <w:pStyle w:val="ListBullet"/>
        <w:numPr>
          <w:ilvl w:val="0"/>
          <w:numId w:val="1"/>
        </w:numPr>
        <w:spacing w:before="0" w:after="40"/>
        <w:ind w:hanging="360" w:start="283"/>
        <w:contextualSpacing/>
        <w:rPr/>
      </w:pPr>
      <w:r>
        <w:rPr>
          <w:sz w:val="21"/>
        </w:rPr>
        <w:t>Prévision : 2017–2021 (5 ans) avec intervalles de confiance à 95 %</w:t>
      </w:r>
    </w:p>
    <w:p>
      <w:pPr>
        <w:pStyle w:val="ListBullet"/>
        <w:numPr>
          <w:ilvl w:val="0"/>
          <w:numId w:val="1"/>
        </w:numPr>
        <w:spacing w:before="0" w:after="40"/>
        <w:ind w:hanging="360" w:start="283"/>
        <w:contextualSpacing/>
        <w:rPr/>
      </w:pPr>
      <w:r>
        <w:rPr>
          <w:sz w:val="21"/>
        </w:rPr>
        <w:t>Paramétrage : tendance linéaire piece-wise, sans saisonnalité (données annuelles), changepoint_prior_scale=0.3</w:t>
      </w:r>
    </w:p>
    <w:p>
      <w:pPr>
        <w:pStyle w:val="Heading3"/>
        <w:spacing w:before="160" w:after="80"/>
        <w:rPr/>
      </w:pPr>
      <w:r>
        <w:rPr>
          <w:b/>
          <w:sz w:val="22"/>
        </w:rPr>
        <w:t>Résultats par pays</w:t>
      </w:r>
    </w:p>
    <w:tbl>
      <w:tblPr>
        <w:tblStyle w:val="TableGrid"/>
        <w:tblW w:w="9123"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041"/>
        <w:gridCol w:w="3041"/>
        <w:gridCol w:w="3041"/>
      </w:tblGrid>
      <w:tr>
        <w:trPr/>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Pays</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MAPE (%)</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Interprétation</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États-Unis</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1.42</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Tendance très stable — série très prévisible</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Chine</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5.85</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Croissance régulière — bonne prédictibilité</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Brésil</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4.60</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Tendance haussière régulière</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Japon</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7.62</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Léger plateau depuis 2005</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Italie</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13.95</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Variabilité liée aux réformes PAC européennes</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Inde</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17.71</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Volatilité forte — politique agricole changeante</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Canada</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19.29</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Variabilité climatique et marché des céréales</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Argentine</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15.33</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Sensible aux cycles économiques</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France</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24.20</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Forte volatilité — contexte réglementaire Ecophyto</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Colombie</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38.73</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Données très irrégulières — instabilité structurelle</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Moyenne</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14.87</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Acceptable pour des données macro-économiques annuelles</w:t>
            </w:r>
          </w:p>
        </w:tc>
      </w:tr>
    </w:tbl>
    <w:p>
      <w:pPr>
        <w:pStyle w:val="Normal"/>
        <w:rPr/>
      </w:pPr>
      <w:r>
        <w:rPr/>
      </w:r>
    </w:p>
    <w:p>
      <w:pPr>
        <w:pStyle w:val="Normal"/>
        <w:rPr/>
      </w:pPr>
      <w:r>
        <w:rPr/>
      </w:r>
      <w:r>
        <w:br w:type="page"/>
      </w:r>
    </w:p>
    <w:p>
      <w:pPr>
        <w:pStyle w:val="Heading1"/>
        <w:spacing w:before="0" w:after="160"/>
        <w:rPr/>
      </w:pPr>
      <w:r>
        <w:rPr>
          <w:color w:val="2E74B5"/>
          <w:sz w:val="32"/>
        </w:rPr>
        <w:t>5. Pipeline de données et d'entraînement</w:t>
      </w:r>
    </w:p>
    <w:p>
      <w:pPr>
        <w:pStyle w:val="Heading2"/>
        <w:spacing w:before="240" w:after="100"/>
        <w:rPr/>
      </w:pPr>
      <w:r>
        <w:rPr>
          <w:color w:val="2F75B6"/>
          <w:sz w:val="26"/>
        </w:rPr>
        <w:t>5.1 Ingestion Spark — ingest_pesticides.py</w:t>
      </w:r>
    </w:p>
    <w:p>
      <w:pPr>
        <w:pStyle w:val="Normal"/>
        <w:spacing w:before="0" w:after="120"/>
        <w:ind w:hanging="0"/>
        <w:rPr/>
      </w:pPr>
      <w:r>
        <w:rPr>
          <w:sz w:val="21"/>
        </w:rPr>
        <w:t>Le premier job Spark lit le fichier CSV FAO brut, effectue le nettoyage (filtrage des valeurs nulles, renommage des colonnes, typage) et écrit les données en format Parquet sur le volume partagé data/processed/. Ce format colonnaire optimise les lectures sélectives pour le job de transformation suivant.</w:t>
      </w:r>
    </w:p>
    <w:p>
      <w:pPr>
        <w:pStyle w:val="Heading2"/>
        <w:spacing w:before="240" w:after="100"/>
        <w:rPr/>
      </w:pPr>
      <w:r>
        <w:rPr>
          <w:color w:val="2F75B6"/>
          <w:sz w:val="26"/>
        </w:rPr>
        <w:t>5.2 Transformation Spark — transform_pesticides.py</w:t>
      </w:r>
    </w:p>
    <w:p>
      <w:pPr>
        <w:pStyle w:val="Normal"/>
        <w:spacing w:before="0" w:after="120"/>
        <w:ind w:hanging="0"/>
        <w:rPr/>
      </w:pPr>
      <w:r>
        <w:rPr>
          <w:sz w:val="21"/>
        </w:rPr>
        <w:t>Le second job Spark lit le Parquet, calcule les features dérivées (YoY growth, MA5, CAGR, normalisation) via des fonctions de fenêtre (Window functions) partitionnées par pays et triées par année, puis écrit le résultat dans la table pesticide_use de PostgreSQL via le connecteur JDBC (org.postgresql:postgresql:42.7.3).</w:t>
      </w:r>
    </w:p>
    <w:p>
      <w:pPr>
        <w:pStyle w:val="Normal"/>
        <w:spacing w:before="0" w:after="120"/>
        <w:ind w:hanging="0"/>
        <w:rPr/>
      </w:pPr>
      <w:r>
        <w:rPr>
          <w:sz w:val="21"/>
        </w:rPr>
        <w:t>L'utilisation de Spark pour cette transformation, même sur un dataset de taille modeste, démontre la capacité à monter en charge horizontalement si les volumes de données augmentent.</w:t>
      </w:r>
    </w:p>
    <w:p>
      <w:pPr>
        <w:pStyle w:val="Heading2"/>
        <w:spacing w:before="240" w:after="100"/>
        <w:rPr/>
      </w:pPr>
      <w:r>
        <w:rPr>
          <w:color w:val="2F75B6"/>
          <w:sz w:val="26"/>
        </w:rPr>
        <w:t>5.3 Simulation des données capteurs — simulate_data.py</w:t>
      </w:r>
    </w:p>
    <w:p>
      <w:pPr>
        <w:pStyle w:val="Normal"/>
        <w:spacing w:before="0" w:after="120"/>
        <w:ind w:hanging="0"/>
        <w:rPr/>
      </w:pPr>
      <w:r>
        <w:rPr>
          <w:sz w:val="21"/>
        </w:rPr>
        <w:t>Le script de simulation génère de manière idempotente (skip si données déjà présentes) 60 parcelles, 420 relevés capteurs annuels (2010–2016) et 420 rendements corrélés. La simulation utilise les profils climatiques réels de chaque pays (température et pluviométrie moyennes) comme valeurs centrales, avec un bruit gaussien pour la variabilité.</w:t>
      </w:r>
    </w:p>
    <w:p>
      <w:pPr>
        <w:pStyle w:val="Heading2"/>
        <w:spacing w:before="240" w:after="100"/>
        <w:rPr/>
      </w:pPr>
      <w:r>
        <w:rPr>
          <w:color w:val="2F75B6"/>
          <w:sz w:val="26"/>
        </w:rPr>
        <w:t>5.4 Orchestration Airflow</w:t>
      </w:r>
    </w:p>
    <w:p>
      <w:pPr>
        <w:pStyle w:val="Normal"/>
        <w:spacing w:before="0" w:after="120"/>
        <w:ind w:hanging="0"/>
        <w:rPr/>
      </w:pPr>
      <w:r>
        <w:rPr>
          <w:sz w:val="21"/>
        </w:rPr>
        <w:t>Deux DAGs Apache Airflow automatisent le pipeline complet :</w:t>
      </w:r>
    </w:p>
    <w:tbl>
      <w:tblPr>
        <w:tblStyle w:val="TableGrid"/>
        <w:tblW w:w="912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280"/>
        <w:gridCol w:w="2280"/>
        <w:gridCol w:w="2280"/>
        <w:gridCol w:w="2280"/>
      </w:tblGrid>
      <w:tr>
        <w:trPr/>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DAG</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Schedule</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Tâches</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Description</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pesticides_pipeline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@monthly</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ingest_csv → spark_transform</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Mise à jour des données FAO et recalcul des features</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ml_pipeline</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@weekly</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simulate_data → train_xgboost → train_prophet</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Re-entraînement des modèles et mise à jour du registry MLflow</w:t>
            </w:r>
          </w:p>
        </w:tc>
      </w:tr>
    </w:tbl>
    <w:p>
      <w:pPr>
        <w:pStyle w:val="Normal"/>
        <w:rPr/>
      </w:pPr>
      <w:r>
        <w:rPr/>
      </w:r>
    </w:p>
    <w:p>
      <w:pPr>
        <w:pStyle w:val="Normal"/>
        <w:spacing w:before="0" w:after="120"/>
        <w:ind w:hanging="0"/>
        <w:rPr/>
      </w:pPr>
      <w:r>
        <w:rPr>
          <w:sz w:val="21"/>
        </w:rPr>
        <w:t>Les tâches Airflow utilisent exclusivement BashOperator pour invoquer les scripts Python via docker exec, évitant d'importer les bibliothèques ML lourdes (Prophet, XGBoost) directement dans le processus Airflow.</w:t>
      </w:r>
    </w:p>
    <w:p>
      <w:pPr>
        <w:pStyle w:val="Normal"/>
        <w:rPr/>
      </w:pPr>
      <w:r>
        <w:rPr/>
      </w:r>
      <w:r>
        <w:br w:type="page"/>
      </w:r>
    </w:p>
    <w:p>
      <w:pPr>
        <w:pStyle w:val="Heading1"/>
        <w:spacing w:before="0" w:after="160"/>
        <w:rPr/>
      </w:pPr>
      <w:r>
        <w:rPr>
          <w:color w:val="2E74B5"/>
          <w:sz w:val="32"/>
        </w:rPr>
        <w:t>6. API FastAPI et Dashboard Streamlit</w:t>
      </w:r>
    </w:p>
    <w:p>
      <w:pPr>
        <w:pStyle w:val="Heading2"/>
        <w:spacing w:before="240" w:after="100"/>
        <w:rPr/>
      </w:pPr>
      <w:r>
        <w:rPr>
          <w:color w:val="2F75B6"/>
          <w:sz w:val="26"/>
        </w:rPr>
        <w:t>6.1 API FastAPI — Endpoints</w:t>
      </w:r>
    </w:p>
    <w:p>
      <w:pPr>
        <w:pStyle w:val="Normal"/>
        <w:spacing w:before="0" w:after="120"/>
        <w:ind w:hanging="0"/>
        <w:rPr/>
      </w:pPr>
      <w:r>
        <w:rPr>
          <w:sz w:val="21"/>
        </w:rPr>
        <w:t>L'API REST est développée avec FastAPI (Python), offrant une documentation interactive automatique (Swagger UI sur /docs), la validation des données via Pydantic v2, et une intégration native avec SQLAlchemy pour les accès base de données.</w:t>
      </w:r>
    </w:p>
    <w:tbl>
      <w:tblPr>
        <w:tblStyle w:val="TableGrid"/>
        <w:tblW w:w="9123"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041"/>
        <w:gridCol w:w="3041"/>
        <w:gridCol w:w="3041"/>
      </w:tblGrid>
      <w:tr>
        <w:trPr/>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Méthode</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Endpoint</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Description</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GET</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/health</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Statut de l'API et état de chargement du modèle XGBoost</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GET</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/parcels</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Liste des 60 parcelles avec attributs géographiques et agronomiques</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GET</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/parcels/{id}</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Détail d'une parcelle spécifique</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POST</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/predict/yield</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Prédiction de rendement XGBoost + recommandation irrigation</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GET</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/predictions</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Historique des prédictions (50 dernières par défaut)</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GET</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/pesticide/countries</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Liste des pays disponibles dans la base pesticides</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GET</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/pesticide/history/{country}</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Données historiques FAO pour un pays</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GET</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/pesticide/forecast/{country}</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Forecast Prophet 2017-2021 depuis les artifacts MLflow</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GET</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/metrics</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Métriques Prometheus (format text/plain)</w:t>
            </w:r>
          </w:p>
        </w:tc>
      </w:tr>
    </w:tbl>
    <w:p>
      <w:pPr>
        <w:pStyle w:val="Normal"/>
        <w:rPr/>
      </w:pPr>
      <w:r>
        <w:rPr/>
      </w:r>
    </w:p>
    <w:p>
      <w:pPr>
        <w:pStyle w:val="Heading2"/>
        <w:spacing w:before="240" w:after="100"/>
        <w:rPr/>
      </w:pPr>
      <w:r>
        <w:rPr>
          <w:color w:val="2F75B6"/>
          <w:sz w:val="26"/>
        </w:rPr>
        <w:t>6.2 Métriques Prometheus personnalisées</w:t>
      </w:r>
    </w:p>
    <w:p>
      <w:pPr>
        <w:pStyle w:val="Normal"/>
        <w:spacing w:before="0" w:after="120"/>
        <w:ind w:hanging="0"/>
        <w:rPr/>
      </w:pPr>
      <w:r>
        <w:rPr>
          <w:sz w:val="21"/>
        </w:rPr>
        <w:t>Trois métriques personnalisées sont exposées par l'API en plus des métriques HTTP automatiques de prometheus-fastapi-instrumentator :</w:t>
      </w:r>
    </w:p>
    <w:p>
      <w:pPr>
        <w:pStyle w:val="ListBullet"/>
        <w:numPr>
          <w:ilvl w:val="0"/>
          <w:numId w:val="1"/>
        </w:numPr>
        <w:spacing w:before="0" w:after="40"/>
        <w:ind w:hanging="360" w:start="283"/>
        <w:contextualSpacing/>
        <w:rPr/>
      </w:pPr>
      <w:r>
        <w:rPr>
          <w:sz w:val="21"/>
        </w:rPr>
        <w:t>agritech_predictions_total [counter, label: crop_type] — Nombre total de prédictions par culture</w:t>
      </w:r>
    </w:p>
    <w:p>
      <w:pPr>
        <w:pStyle w:val="ListBullet"/>
        <w:numPr>
          <w:ilvl w:val="0"/>
          <w:numId w:val="1"/>
        </w:numPr>
        <w:spacing w:before="0" w:after="40"/>
        <w:ind w:hanging="360" w:start="283"/>
        <w:contextualSpacing/>
        <w:rPr/>
      </w:pPr>
      <w:r>
        <w:rPr>
          <w:sz w:val="21"/>
        </w:rPr>
        <w:t>agritech_prediction_duration_seconds [histogram] — Durée d'inférence XGBoost (hors réseau), buckets de 1ms à 2.5s</w:t>
      </w:r>
    </w:p>
    <w:p>
      <w:pPr>
        <w:pStyle w:val="ListBullet"/>
        <w:numPr>
          <w:ilvl w:val="0"/>
          <w:numId w:val="1"/>
        </w:numPr>
        <w:spacing w:before="0" w:after="40"/>
        <w:ind w:hanging="360" w:start="283"/>
        <w:contextualSpacing/>
        <w:rPr/>
      </w:pPr>
      <w:r>
        <w:rPr>
          <w:sz w:val="21"/>
        </w:rPr>
        <w:t>agritech_model_errors_total [counter] — Nombre d'erreurs de chargement ou d'inférence du modèle</w:t>
      </w:r>
    </w:p>
    <w:p>
      <w:pPr>
        <w:pStyle w:val="Heading2"/>
        <w:spacing w:before="240" w:after="100"/>
        <w:rPr/>
      </w:pPr>
      <w:r>
        <w:rPr>
          <w:color w:val="2F75B6"/>
          <w:sz w:val="26"/>
        </w:rPr>
        <w:t>6.3 Dashboard Streamlit</w:t>
      </w:r>
    </w:p>
    <w:p>
      <w:pPr>
        <w:pStyle w:val="Normal"/>
        <w:spacing w:before="0" w:after="120"/>
        <w:ind w:hanging="0"/>
        <w:rPr/>
      </w:pPr>
      <w:r>
        <w:rPr>
          <w:sz w:val="21"/>
        </w:rPr>
        <w:t>Le dashboard Streamlit offre une interface utilisateur complète accessible sur le port 8501. Il permet la visualisation des données historiques de capteurs par parcelle, la consultation des prévisions Prophet par pays, le suivi de l'historique des prédictions, et l'accès aux métriques de performance du modèle. Le dashboard communique exclusivement avec l'API FastAPI (via l'URL interne http://api:8000) pour les prédictions, et accède directement à PostgreSQL pour les données analytiques.</w:t>
      </w:r>
    </w:p>
    <w:p>
      <w:pPr>
        <w:pStyle w:val="Normal"/>
        <w:rPr/>
      </w:pPr>
      <w:r>
        <w:rPr/>
      </w:r>
      <w:r>
        <w:br w:type="page"/>
      </w:r>
    </w:p>
    <w:p>
      <w:pPr>
        <w:pStyle w:val="Heading1"/>
        <w:spacing w:before="0" w:after="160"/>
        <w:rPr/>
      </w:pPr>
      <w:r>
        <w:rPr>
          <w:color w:val="2E74B5"/>
          <w:sz w:val="32"/>
        </w:rPr>
        <w:t>7. Infrastructure, monitoring et CI/CD</w:t>
      </w:r>
    </w:p>
    <w:p>
      <w:pPr>
        <w:pStyle w:val="Heading2"/>
        <w:spacing w:before="240" w:after="100"/>
        <w:rPr/>
      </w:pPr>
      <w:r>
        <w:rPr>
          <w:color w:val="2F75B6"/>
          <w:sz w:val="26"/>
        </w:rPr>
        <w:t>7.1 Tracking MLflow</w:t>
      </w:r>
    </w:p>
    <w:p>
      <w:pPr>
        <w:pStyle w:val="Normal"/>
        <w:spacing w:before="0" w:after="120"/>
        <w:ind w:hanging="0"/>
        <w:rPr/>
      </w:pPr>
      <w:r>
        <w:rPr>
          <w:sz w:val="21"/>
        </w:rPr>
        <w:t>MLflow 3.1.0 assure la traçabilité complète de chaque expérience ML. Le tracking server utilise PostgreSQL comme backend de métadonnées et un volume Docker dédié pour les artifacts. Chaque run enregistre les hyperparamètres, les métriques de performance, les importances de features, le modèle sérialisé et le version du modèle dans le registry.</w:t>
      </w:r>
    </w:p>
    <w:p>
      <w:pPr>
        <w:pStyle w:val="Normal"/>
        <w:spacing w:before="0" w:after="120"/>
        <w:ind w:hanging="0"/>
        <w:rPr/>
      </w:pPr>
      <w:r>
        <w:rPr>
          <w:sz w:val="21"/>
        </w:rPr>
        <w:t>Le model registry MLflow permet de versionner les modèles déployés et de charger dynamiquement la dernière version dans l'API via l'URI models:/yield-xgboost/latest. Cette approche facilite les déploiements sans interruption de service (hot-reload).</w:t>
      </w:r>
    </w:p>
    <w:p>
      <w:pPr>
        <w:pStyle w:val="Heading2"/>
        <w:spacing w:before="240" w:after="100"/>
        <w:rPr/>
      </w:pPr>
      <w:r>
        <w:rPr>
          <w:color w:val="2F75B6"/>
          <w:sz w:val="26"/>
        </w:rPr>
        <w:t>7.2 Monitoring Prometheus + Grafana</w:t>
      </w:r>
    </w:p>
    <w:p>
      <w:pPr>
        <w:pStyle w:val="Normal"/>
        <w:spacing w:before="0" w:after="120"/>
        <w:ind w:hanging="0"/>
        <w:rPr/>
      </w:pPr>
      <w:r>
        <w:rPr>
          <w:sz w:val="21"/>
        </w:rPr>
        <w:t>Prometheus scrape l'endpoint /metrics de l'API toutes les 15 secondes, collectant l'ensemble des métriques HTTP (latence, codes de statut, débit) et les métriques métier personnalisées. La rétention des données est configurée à 15 jours.</w:t>
      </w:r>
    </w:p>
    <w:p>
      <w:pPr>
        <w:pStyle w:val="Normal"/>
        <w:spacing w:before="0" w:after="120"/>
        <w:ind w:hanging="0"/>
        <w:rPr/>
      </w:pPr>
      <w:r>
        <w:rPr>
          <w:sz w:val="21"/>
        </w:rPr>
        <w:t>Un dashboard Grafana préconfiguré (provisioning automatique via fichiers YAML et JSON) offre 9 panneaux de visualisation : prédictions par seconde et par culture, latence HTTP P50/P95/P99, répartition des codes de statut, latence d'inférence XGBoost, et compteur d'erreurs du modèle.</w:t>
      </w:r>
    </w:p>
    <w:p>
      <w:pPr>
        <w:pStyle w:val="Heading2"/>
        <w:spacing w:before="240" w:after="100"/>
        <w:rPr/>
      </w:pPr>
      <w:r>
        <w:rPr>
          <w:color w:val="2F75B6"/>
          <w:sz w:val="26"/>
        </w:rPr>
        <w:t>7.3 Pipeline CI/CD</w:t>
      </w:r>
    </w:p>
    <w:tbl>
      <w:tblPr>
        <w:tblStyle w:val="TableGrid"/>
        <w:tblW w:w="912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280"/>
        <w:gridCol w:w="2280"/>
        <w:gridCol w:w="2280"/>
        <w:gridCol w:w="2280"/>
      </w:tblGrid>
      <w:tr>
        <w:trPr/>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Workflow</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Déclencheur</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Outil</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Action</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semantic-release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Push sur main</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semantic-release</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Calcule version SemVer, génère CHANGELOG, crée release GitHub</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lint</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Push + PR → develop/main</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Pylint (score ≥ 8.0)</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Analyse statique du code Python — 9.39/10 obtenu</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tests</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Push sur main</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pytest</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69 tests unitaires — 4 modules API, ML, Spark, Prophet</w:t>
            </w:r>
          </w:p>
        </w:tc>
      </w:tr>
    </w:tbl>
    <w:p>
      <w:pPr>
        <w:pStyle w:val="Normal"/>
        <w:rPr/>
      </w:pPr>
      <w:r>
        <w:rPr/>
      </w:r>
    </w:p>
    <w:p>
      <w:pPr>
        <w:pStyle w:val="Normal"/>
        <w:spacing w:before="0" w:after="120"/>
        <w:ind w:hanging="0"/>
        <w:rPr/>
      </w:pPr>
      <w:r>
        <w:rPr>
          <w:sz w:val="21"/>
        </w:rPr>
        <w:t>Les commits suivent la convention Conventional Commits (feat:, fix:, chore:, etc.) qui pilote le versioning automatique via semantic-release. Un merge avec feat: déclenche un bump mineur, un fix: un bump patch, un feat!: (breaking) un bump majeur.</w:t>
      </w:r>
    </w:p>
    <w:p>
      <w:pPr>
        <w:pStyle w:val="Heading2"/>
        <w:spacing w:before="240" w:after="100"/>
        <w:rPr/>
      </w:pPr>
      <w:r>
        <w:rPr>
          <w:color w:val="2F75B6"/>
          <w:sz w:val="26"/>
        </w:rPr>
        <w:t>7.4 Tests unitaires</w:t>
      </w:r>
    </w:p>
    <w:p>
      <w:pPr>
        <w:pStyle w:val="Normal"/>
        <w:spacing w:before="0" w:after="120"/>
        <w:ind w:hanging="0"/>
        <w:rPr/>
      </w:pPr>
      <w:r>
        <w:rPr>
          <w:sz w:val="21"/>
        </w:rPr>
        <w:t>La suite de tests couvre les modules critiques avec 69 tests répartis en 4 fichiers :</w:t>
      </w:r>
    </w:p>
    <w:tbl>
      <w:tblPr>
        <w:tblStyle w:val="TableGrid"/>
        <w:tblW w:w="912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280"/>
        <w:gridCol w:w="2280"/>
        <w:gridCol w:w="2280"/>
        <w:gridCol w:w="2280"/>
      </w:tblGrid>
      <w:tr>
        <w:trPr/>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Fichier de test</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Module testé</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Nb tests</w:t>
            </w:r>
          </w:p>
        </w:tc>
        <w:tc>
          <w:tcPr>
            <w:tcW w:w="2280"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Périmètre</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test_api.py</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src/api/main.py</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27</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Endpoints FastAPI, prédiction, parcelles, pesticides, health</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test_train_xgboost.py</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src/ml/train_xgboost.py</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18</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Chargement données, build features, métriques, MLflow logging</w:t>
            </w:r>
          </w:p>
        </w:tc>
      </w:tr>
      <w:tr>
        <w:trPr/>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test_train_prophet.py</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src/ml/train_prophet.py</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15</w:t>
            </w:r>
          </w:p>
        </w:tc>
        <w:tc>
          <w:tcPr>
            <w:tcW w:w="2280"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MAPE, entraînement Prophet, forecast, logging artefacts</w:t>
            </w:r>
          </w:p>
        </w:tc>
      </w:tr>
      <w:tr>
        <w:trPr/>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test_simulate_data.py</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src/ml/simulate_data.py</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9</w:t>
            </w:r>
          </w:p>
        </w:tc>
        <w:tc>
          <w:tcPr>
            <w:tcW w:w="2280"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Génération parcelles, capteurs, rendements, idempotence</w:t>
            </w:r>
          </w:p>
        </w:tc>
      </w:tr>
    </w:tbl>
    <w:p>
      <w:pPr>
        <w:pStyle w:val="Normal"/>
        <w:rPr/>
      </w:pPr>
      <w:r>
        <w:rPr/>
      </w:r>
    </w:p>
    <w:p>
      <w:pPr>
        <w:pStyle w:val="Normal"/>
        <w:spacing w:before="0" w:after="120"/>
        <w:ind w:hanging="0"/>
        <w:rPr/>
      </w:pPr>
      <w:r>
        <w:rPr>
          <w:sz w:val="21"/>
        </w:rPr>
        <w:t>Les tests utilisent pytest avec des mocks SQLAlchemy (engine, curseur), des mocks MLflow et un mock Prophet (sys.modules sentinel pour contourner l'absence de CmdStan en CI). La base de données de production n'est jamais contactée lors des tests unitaires.</w:t>
      </w:r>
    </w:p>
    <w:p>
      <w:pPr>
        <w:pStyle w:val="Normal"/>
        <w:rPr/>
      </w:pPr>
      <w:r>
        <w:rPr/>
      </w:r>
      <w:r>
        <w:br w:type="page"/>
      </w:r>
    </w:p>
    <w:p>
      <w:pPr>
        <w:pStyle w:val="Heading1"/>
        <w:spacing w:before="0" w:after="160"/>
        <w:rPr/>
      </w:pPr>
      <w:r>
        <w:rPr>
          <w:color w:val="2E74B5"/>
          <w:sz w:val="32"/>
        </w:rPr>
        <w:t>8. Analyse des données et résultats</w:t>
      </w:r>
    </w:p>
    <w:p>
      <w:pPr>
        <w:pStyle w:val="Heading2"/>
        <w:spacing w:before="240" w:after="100"/>
        <w:rPr/>
      </w:pPr>
      <w:r>
        <w:rPr>
          <w:color w:val="2F75B6"/>
          <w:sz w:val="26"/>
        </w:rPr>
        <w:t>8.1 Analyse des données FAO</w:t>
      </w:r>
    </w:p>
    <w:p>
      <w:pPr>
        <w:pStyle w:val="Normal"/>
        <w:spacing w:before="0" w:after="120"/>
        <w:ind w:hanging="0"/>
        <w:rPr/>
      </w:pPr>
      <w:r>
        <w:rPr>
          <w:sz w:val="21"/>
        </w:rPr>
        <w:t>L'analyse du dataset FAO révèle des disparités importantes dans l'utilisation mondiale des pesticides. Les 10 premiers pays représentent plus de 75 % du volume total mondial. La Chine est le premier utilisateur mondial avec plus de 1.8 million de tonnes par an en fin de période, soit une multiplication par 6 depuis 1990.</w:t>
      </w:r>
    </w:p>
    <w:p>
      <w:pPr>
        <w:pStyle w:val="ListBullet"/>
        <w:numPr>
          <w:ilvl w:val="0"/>
          <w:numId w:val="1"/>
        </w:numPr>
        <w:spacing w:before="0" w:after="40"/>
        <w:ind w:hanging="360" w:start="283"/>
        <w:contextualSpacing/>
        <w:rPr/>
      </w:pPr>
      <w:r>
        <w:rPr>
          <w:sz w:val="21"/>
        </w:rPr>
        <w:t>Distribution très asymétrique : médiane à 1 138 t, moyenne à 20 303 t — concentration extrême dans les grands pays agricoles</w:t>
      </w:r>
    </w:p>
    <w:p>
      <w:pPr>
        <w:pStyle w:val="ListBullet"/>
        <w:numPr>
          <w:ilvl w:val="0"/>
          <w:numId w:val="1"/>
        </w:numPr>
        <w:spacing w:before="0" w:after="40"/>
        <w:ind w:hanging="360" w:start="283"/>
        <w:contextualSpacing/>
        <w:rPr/>
      </w:pPr>
      <w:r>
        <w:rPr>
          <w:sz w:val="21"/>
        </w:rPr>
        <w:t>Tendance globalement haussière sur 1990–2016, avec une accélération notable à partir de 2000 dans les pays émergents</w:t>
      </w:r>
    </w:p>
    <w:p>
      <w:pPr>
        <w:pStyle w:val="ListBullet"/>
        <w:numPr>
          <w:ilvl w:val="0"/>
          <w:numId w:val="1"/>
        </w:numPr>
        <w:spacing w:before="0" w:after="40"/>
        <w:ind w:hanging="360" w:start="283"/>
        <w:contextualSpacing/>
        <w:rPr/>
      </w:pPr>
      <w:r>
        <w:rPr>
          <w:sz w:val="21"/>
        </w:rPr>
        <w:t>Les pays européens montrent une stabilisation voire une baisse depuis les années 2000, sous effet des politiques réglementaires (PAC, plan Ecophyto en France)</w:t>
      </w:r>
    </w:p>
    <w:p>
      <w:pPr>
        <w:pStyle w:val="ListBullet"/>
        <w:numPr>
          <w:ilvl w:val="0"/>
          <w:numId w:val="1"/>
        </w:numPr>
        <w:spacing w:before="0" w:after="40"/>
        <w:ind w:hanging="360" w:start="283"/>
        <w:contextualSpacing/>
        <w:rPr/>
      </w:pPr>
      <w:r>
        <w:rPr>
          <w:sz w:val="21"/>
        </w:rPr>
        <w:t>Le CAGR 5 ans moyen est de +4.2 % sur l'ensemble du dataset, masquant de fortes disparités géographiques</w:t>
      </w:r>
    </w:p>
    <w:p>
      <w:pPr>
        <w:pStyle w:val="Heading2"/>
        <w:spacing w:before="240" w:after="100"/>
        <w:rPr/>
      </w:pPr>
      <w:r>
        <w:rPr>
          <w:color w:val="2F75B6"/>
          <w:sz w:val="26"/>
        </w:rPr>
        <w:t>8.2 Analyse des données de capteurs simulées</w:t>
      </w:r>
    </w:p>
    <w:p>
      <w:pPr>
        <w:pStyle w:val="Normal"/>
        <w:spacing w:before="0" w:after="120"/>
        <w:ind w:hanging="0"/>
        <w:rPr/>
      </w:pPr>
      <w:r>
        <w:rPr>
          <w:sz w:val="21"/>
        </w:rPr>
        <w:t>L'analyse exploratoire du dataset de capteurs et rendements met en évidence plusieurs relations agronomiquement cohérentes :</w:t>
      </w:r>
    </w:p>
    <w:p>
      <w:pPr>
        <w:pStyle w:val="ListBullet"/>
        <w:numPr>
          <w:ilvl w:val="0"/>
          <w:numId w:val="1"/>
        </w:numPr>
        <w:spacing w:before="0" w:after="40"/>
        <w:ind w:hanging="360" w:start="283"/>
        <w:contextualSpacing/>
        <w:rPr/>
      </w:pPr>
      <w:r>
        <w:rPr>
          <w:sz w:val="21"/>
        </w:rPr>
        <w:t>Effet quadratique température-rendement : optimum bien visible pour chaque culture, pénalité symétrique de part et d'autre</w:t>
      </w:r>
    </w:p>
    <w:p>
      <w:pPr>
        <w:pStyle w:val="ListBullet"/>
        <w:numPr>
          <w:ilvl w:val="0"/>
          <w:numId w:val="1"/>
        </w:numPr>
        <w:spacing w:before="0" w:after="40"/>
        <w:ind w:hanging="360" w:start="283"/>
        <w:contextualSpacing/>
        <w:rPr/>
      </w:pPr>
      <w:r>
        <w:rPr>
          <w:sz w:val="21"/>
        </w:rPr>
        <w:t>Interaction pluviométrie-rendement non-linéaire : rendement stable en zone de confort hydrique, chute brutale en dessous du seuil</w:t>
      </w:r>
    </w:p>
    <w:p>
      <w:pPr>
        <w:pStyle w:val="ListBullet"/>
        <w:numPr>
          <w:ilvl w:val="0"/>
          <w:numId w:val="1"/>
        </w:numPr>
        <w:spacing w:before="0" w:after="40"/>
        <w:ind w:hanging="360" w:start="283"/>
        <w:contextualSpacing/>
        <w:rPr/>
      </w:pPr>
      <w:r>
        <w:rPr>
          <w:sz w:val="21"/>
        </w:rPr>
        <w:t>pH : distribution centrée sur 6.5 avec des rendements plus faibles aux extrêmes (&lt; 5.5 ou &gt; 7.5)</w:t>
      </w:r>
    </w:p>
    <w:p>
      <w:pPr>
        <w:pStyle w:val="ListBullet"/>
        <w:numPr>
          <w:ilvl w:val="0"/>
          <w:numId w:val="1"/>
        </w:numPr>
        <w:spacing w:before="0" w:after="40"/>
        <w:ind w:hanging="360" w:start="283"/>
        <w:contextualSpacing/>
        <w:rPr/>
      </w:pPr>
      <w:r>
        <w:rPr>
          <w:sz w:val="21"/>
        </w:rPr>
        <w:t>Azote : relation quasi-linéaire positive dans la plage 40–220 ppm, confirmant l'effet fertilisant direct</w:t>
      </w:r>
    </w:p>
    <w:p>
      <w:pPr>
        <w:pStyle w:val="ListBullet"/>
        <w:numPr>
          <w:ilvl w:val="0"/>
          <w:numId w:val="1"/>
        </w:numPr>
        <w:spacing w:before="0" w:after="40"/>
        <w:ind w:hanging="360" w:start="283"/>
        <w:contextualSpacing/>
        <w:rPr/>
      </w:pPr>
      <w:r>
        <w:rPr>
          <w:sz w:val="21"/>
        </w:rPr>
        <w:t>Pesticides : bénéfice marginal décroissant — corrélation positive jusqu'à la dose optimale, indifférente au-delà</w:t>
      </w:r>
    </w:p>
    <w:p>
      <w:pPr>
        <w:pStyle w:val="Heading2"/>
        <w:spacing w:before="240" w:after="100"/>
        <w:rPr/>
      </w:pPr>
      <w:r>
        <w:rPr>
          <w:color w:val="2F75B6"/>
          <w:sz w:val="26"/>
        </w:rPr>
        <w:t>8.3 Analyse des résidus du modèle XGBoost</w:t>
      </w:r>
    </w:p>
    <w:p>
      <w:pPr>
        <w:pStyle w:val="Normal"/>
        <w:spacing w:before="0" w:after="120"/>
        <w:ind w:hanging="0"/>
        <w:rPr/>
      </w:pPr>
      <w:r>
        <w:rPr>
          <w:sz w:val="21"/>
        </w:rPr>
        <w:t>L'analyse des résidus sur l'ensemble du dataset (420 observations) confirme la qualité du modèle :</w:t>
      </w:r>
    </w:p>
    <w:tbl>
      <w:tblPr>
        <w:tblStyle w:val="TableGrid"/>
        <w:tblW w:w="9123"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041"/>
        <w:gridCol w:w="3041"/>
        <w:gridCol w:w="3041"/>
      </w:tblGrid>
      <w:tr>
        <w:trPr/>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Diagnostic</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Résultat</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Interprétation</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Biais moyen</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 xml:space="preserve">≈ </w:t>
            </w:r>
            <w:r>
              <w:rPr>
                <w:rFonts w:eastAsia="ＭＳ 明朝" w:cs=""/>
                <w:kern w:val="0"/>
                <w:sz w:val="19"/>
                <w:szCs w:val="22"/>
                <w:lang w:val="en-US" w:eastAsia="en-US" w:bidi="ar-SA"/>
              </w:rPr>
              <w:t>0.000 t/ha</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Absence de biais systématique — prédicteur non biaisé</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Distribution résidus</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Normale (Q-Q linéaire)</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Hypothèse gaussienne des résidus vérifiée</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Hétéroscédasticité</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Faible</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Variance des résidus stable à travers les prédictions</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Culture la plus difficile</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Riz (σ résidu +30 %)</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Forte sensibilité aux conditions hydriques précises</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Biais temporel</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Nul</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Pas de dérive des performances dans le temps</w:t>
            </w:r>
          </w:p>
        </w:tc>
      </w:tr>
    </w:tbl>
    <w:p>
      <w:pPr>
        <w:pStyle w:val="Normal"/>
        <w:rPr/>
      </w:pPr>
      <w:r>
        <w:rPr/>
      </w:r>
    </w:p>
    <w:p>
      <w:pPr>
        <w:pStyle w:val="Heading2"/>
        <w:spacing w:before="240" w:after="100"/>
        <w:rPr/>
      </w:pPr>
      <w:r>
        <w:rPr>
          <w:color w:val="2F75B6"/>
          <w:sz w:val="26"/>
        </w:rPr>
        <w:t>8.4 Recommandation irrigation</w:t>
      </w:r>
    </w:p>
    <w:p>
      <w:pPr>
        <w:pStyle w:val="Normal"/>
        <w:spacing w:before="0" w:after="120"/>
        <w:ind w:hanging="0"/>
        <w:rPr/>
      </w:pPr>
      <w:r>
        <w:rPr>
          <w:sz w:val="21"/>
        </w:rPr>
        <w:t>En complément de la prédiction de rendement, l'API calcule une recommandation d'irrigation basée sur les besoins hydriques saisonniers de chaque culture :</w:t>
      </w:r>
    </w:p>
    <w:tbl>
      <w:tblPr>
        <w:tblStyle w:val="TableGrid"/>
        <w:tblW w:w="9123"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041"/>
        <w:gridCol w:w="3041"/>
        <w:gridCol w:w="3041"/>
      </w:tblGrid>
      <w:tr>
        <w:trPr/>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Culture</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Besoin hydrique saisonnier</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Calcul recommandation</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Maïs (corn)</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650 mm</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max(0, 650 - rainfall_mm) mm d'irrigation</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Riz (rice)</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1 200 mm</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max(0, 1200 - rainfall_mm)</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Soja (soybean)</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700 mm</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max(0, 700 - rainfall_mm)</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Tournesol</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450 mm</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max(0, 450 - rainfall_mm)</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Blé (wheat)</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500 mm</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max(0, 500 - rainfall_mm)</w:t>
            </w:r>
          </w:p>
        </w:tc>
      </w:tr>
    </w:tbl>
    <w:p>
      <w:pPr>
        <w:pStyle w:val="Normal"/>
        <w:rPr/>
      </w:pPr>
      <w:r>
        <w:rPr/>
      </w:r>
    </w:p>
    <w:p>
      <w:pPr>
        <w:pStyle w:val="Normal"/>
        <w:rPr/>
      </w:pPr>
      <w:r>
        <w:rPr/>
      </w:r>
      <w:r>
        <w:br w:type="page"/>
      </w:r>
    </w:p>
    <w:p>
      <w:pPr>
        <w:pStyle w:val="Heading1"/>
        <w:spacing w:before="0" w:after="160"/>
        <w:rPr/>
      </w:pPr>
      <w:r>
        <w:rPr>
          <w:color w:val="2E74B5"/>
          <w:sz w:val="32"/>
        </w:rPr>
        <w:t>9. Difficultés rencontrées et solutions apportées</w:t>
      </w:r>
    </w:p>
    <w:tbl>
      <w:tblPr>
        <w:tblStyle w:val="TableGrid"/>
        <w:tblW w:w="9123"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041"/>
        <w:gridCol w:w="3041"/>
        <w:gridCol w:w="3041"/>
      </w:tblGrid>
      <w:tr>
        <w:trPr/>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Problème</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Cause</w:t>
            </w:r>
          </w:p>
        </w:tc>
        <w:tc>
          <w:tcPr>
            <w:tcW w:w="3041" w:type="dxa"/>
            <w:tcBorders/>
            <w:shd w:color="auto" w:fill="1F4E79" w:val="clear"/>
            <w:vAlign w:val="cente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Solution</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psycopg2.ProgrammingError — DSN invalide</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simulate_data.py passait l'URL SQLAlchemy (postgresql+psycopg2://) directement à psycopg2.connect() qui ne reconnaît pas le préfixe de dialecte</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Remplacement du préfixe avant connexion : DATABASE_URL.replace('postgresql+psycopg2://', 'postgresql://')</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AttributeError: Prophet has no attribute stan_backend</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prophet 1.1.5 embarque cmdstan-2.33.1 sans fichier makefile. cmdstanpy ≥ 1.2 valide l'existence de ce fichier dans validate_cmdstan_path()</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Création d'un fichier makefile vide dans le répertoire bundled lors du build Docker : RUN touch .../cmdstan-2.33.1/makefile</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Airflow build failure — mlflow==2.14.3</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Conflit de dépendances entre mlflow 2.14.3, scikit-learn 1.5.0 et xgboost 2.0.3 dans le Dockerfile Airflow</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Mise à jour mlflow → 3.1.0, suppression de prophet (inutile dans Airflow, qui n'utilise que BashOperator)</w:t>
            </w:r>
          </w:p>
        </w:tc>
      </w:tr>
      <w:tr>
        <w:trPr/>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XGBoostError: binary format removed in 3.1</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Le modèle sauvegardé en format BST (legacy) par XGBoost 2.0.3 dans le conteneur n'est pas lisible par XGBoost 3.1 installé localement</w:t>
            </w:r>
          </w:p>
        </w:tc>
        <w:tc>
          <w:tcPr>
            <w:tcW w:w="3041" w:type="dxa"/>
            <w:tcBorders/>
            <w:shd w:color="auto" w:fill="FFFFFF"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Réentraînement local du modèle pour le rapport (mêmes paramètres, seed=42) — résultats identiques</w:t>
            </w:r>
          </w:p>
        </w:tc>
      </w:tr>
      <w:tr>
        <w:trPr/>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Tests Prophet en CI — CmdStan absent</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Le runner CI n'a pas CmdStan installé, rendant import prophet impossible</w:t>
            </w:r>
          </w:p>
        </w:tc>
        <w:tc>
          <w:tcPr>
            <w:tcW w:w="3041" w:type="dxa"/>
            <w:tcBorders/>
            <w:shd w:color="auto" w:fill="F2F2F2"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19"/>
                <w:szCs w:val="22"/>
                <w:lang w:val="en-US" w:eastAsia="en-US" w:bidi="ar-SA"/>
              </w:rPr>
              <w:t>Mock au niveau sys.modules avant tout import : sys.modules.setdefault('prophet', MagicMock())</w:t>
            </w:r>
          </w:p>
        </w:tc>
      </w:tr>
    </w:tbl>
    <w:p>
      <w:pPr>
        <w:pStyle w:val="Normal"/>
        <w:rPr/>
      </w:pPr>
      <w:r>
        <w:rPr/>
      </w:r>
    </w:p>
    <w:p>
      <w:pPr>
        <w:pStyle w:val="Normal"/>
        <w:rPr/>
      </w:pPr>
      <w:r>
        <w:rPr/>
      </w:r>
      <w:r>
        <w:br w:type="page"/>
      </w:r>
    </w:p>
    <w:p>
      <w:pPr>
        <w:pStyle w:val="Heading1"/>
        <w:spacing w:before="0" w:after="160"/>
        <w:rPr/>
      </w:pPr>
      <w:r>
        <w:rPr>
          <w:color w:val="2E74B5"/>
          <w:sz w:val="32"/>
        </w:rPr>
        <w:t>10. Conclusion et perspectives</w:t>
      </w:r>
    </w:p>
    <w:p>
      <w:pPr>
        <w:pStyle w:val="Heading2"/>
        <w:spacing w:before="240" w:after="100"/>
        <w:rPr/>
      </w:pPr>
      <w:r>
        <w:rPr>
          <w:color w:val="2F75B6"/>
          <w:sz w:val="26"/>
        </w:rPr>
        <w:t>10.1 Bilan du projet</w:t>
      </w:r>
    </w:p>
    <w:p>
      <w:pPr>
        <w:pStyle w:val="Normal"/>
        <w:spacing w:before="0" w:after="120"/>
        <w:ind w:hanging="0"/>
        <w:rPr/>
      </w:pPr>
      <w:r>
        <w:rPr>
          <w:sz w:val="21"/>
        </w:rPr>
        <w:t>Le projet AgriTech M1INNO constitue une implémentation complète et fonctionnelle d'une plateforme MLOps dans le domaine agricole. L'ensemble des objectifs initiaux ont été atteints : pipeline de données opérationnel (Spark → PostgreSQL), deux modèles ML déployés et suivis (XGBoost R²=0.8643, Prophet MAPE=14.87 %), API REST documentée, dashboard interactif, monitoring temps réel et chaîne CI/CD automatisée.</w:t>
      </w:r>
    </w:p>
    <w:p>
      <w:pPr>
        <w:pStyle w:val="Normal"/>
        <w:spacing w:before="0" w:after="120"/>
        <w:ind w:hanging="0"/>
        <w:rPr/>
      </w:pPr>
      <w:r>
        <w:rPr>
          <w:sz w:val="21"/>
        </w:rPr>
        <w:t>Sur le plan technique, le projet démontre la maîtrise des composants clés d'un système MLOps moderne : gestion des versions de modèles (MLflow), orchestration de workflows (Airflow), traitement distribué (Spark), containerisation (Docker), observabilité (Prometheus/Grafana) et qualité du code (pytest, pylint, semantic-release).</w:t>
      </w:r>
    </w:p>
    <w:p>
      <w:pPr>
        <w:pStyle w:val="Heading2"/>
        <w:spacing w:before="240" w:after="100"/>
        <w:rPr/>
      </w:pPr>
      <w:r>
        <w:rPr>
          <w:color w:val="2F75B6"/>
          <w:sz w:val="26"/>
        </w:rPr>
        <w:t>10.2 Perspectives d'amélioration</w:t>
      </w:r>
    </w:p>
    <w:p>
      <w:pPr>
        <w:pStyle w:val="ListBullet"/>
        <w:numPr>
          <w:ilvl w:val="0"/>
          <w:numId w:val="1"/>
        </w:numPr>
        <w:spacing w:before="0" w:after="40"/>
        <w:ind w:hanging="360" w:start="283"/>
        <w:contextualSpacing/>
        <w:rPr/>
      </w:pPr>
      <w:r>
        <w:rPr>
          <w:sz w:val="21"/>
        </w:rPr>
        <w:t>Données réelles : intégrer des sources de données IoT réelles (OpenWeatherMap API, stations météo Copernicus, NDVI Sentinel-2) pour remplacer les données simulées</w:t>
      </w:r>
    </w:p>
    <w:p>
      <w:pPr>
        <w:pStyle w:val="ListBullet"/>
        <w:numPr>
          <w:ilvl w:val="0"/>
          <w:numId w:val="1"/>
        </w:numPr>
        <w:spacing w:before="0" w:after="40"/>
        <w:ind w:hanging="360" w:start="283"/>
        <w:contextualSpacing/>
        <w:rPr/>
      </w:pPr>
      <w:r>
        <w:rPr>
          <w:sz w:val="21"/>
        </w:rPr>
        <w:t>Modèles avancés : explorer LightGBM ou des modèles d'ensemble, ajouter un modèle de détection d'anomalies pour les capteurs défaillants</w:t>
      </w:r>
    </w:p>
    <w:p>
      <w:pPr>
        <w:pStyle w:val="ListBullet"/>
        <w:numPr>
          <w:ilvl w:val="0"/>
          <w:numId w:val="1"/>
        </w:numPr>
        <w:spacing w:before="0" w:after="40"/>
        <w:ind w:hanging="360" w:start="283"/>
        <w:contextualSpacing/>
        <w:rPr/>
      </w:pPr>
      <w:r>
        <w:rPr>
          <w:sz w:val="21"/>
        </w:rPr>
        <w:t>AutoML : intégrer Optuna ou Ray Tune pour l'optimisation automatique des hyperparamètres à chaque re-entraînement</w:t>
      </w:r>
    </w:p>
    <w:p>
      <w:pPr>
        <w:pStyle w:val="ListBullet"/>
        <w:numPr>
          <w:ilvl w:val="0"/>
          <w:numId w:val="1"/>
        </w:numPr>
        <w:spacing w:before="0" w:after="40"/>
        <w:ind w:hanging="360" w:start="283"/>
        <w:contextualSpacing/>
        <w:rPr/>
      </w:pPr>
      <w:r>
        <w:rPr>
          <w:sz w:val="21"/>
        </w:rPr>
        <w:t>Déploiement cloud : migration vers Kubernetes (K3s ou EKS) pour la scalabilité horizontale et la haute disponibilité</w:t>
      </w:r>
    </w:p>
    <w:p>
      <w:pPr>
        <w:pStyle w:val="ListBullet"/>
        <w:numPr>
          <w:ilvl w:val="0"/>
          <w:numId w:val="1"/>
        </w:numPr>
        <w:spacing w:before="0" w:after="40"/>
        <w:ind w:hanging="360" w:start="283"/>
        <w:contextualSpacing/>
        <w:rPr/>
      </w:pPr>
      <w:r>
        <w:rPr>
          <w:sz w:val="21"/>
        </w:rPr>
        <w:t>Feature store : introduire Feast ou Hopsworks pour la gestion centralisée des features et leur réutilisation entre modèles</w:t>
      </w:r>
    </w:p>
    <w:p>
      <w:pPr>
        <w:pStyle w:val="ListBullet"/>
        <w:numPr>
          <w:ilvl w:val="0"/>
          <w:numId w:val="1"/>
        </w:numPr>
        <w:spacing w:before="0" w:after="40"/>
        <w:ind w:hanging="360" w:start="283"/>
        <w:contextualSpacing/>
        <w:rPr/>
      </w:pPr>
      <w:r>
        <w:rPr>
          <w:sz w:val="21"/>
        </w:rPr>
        <w:t>Data versioning : intégrer DVC (Data Version Control) pour versionner les datasets et garantir la reproductibilité des expériences</w:t>
      </w:r>
    </w:p>
    <w:p>
      <w:pPr>
        <w:pStyle w:val="ListBullet"/>
        <w:numPr>
          <w:ilvl w:val="0"/>
          <w:numId w:val="1"/>
        </w:numPr>
        <w:spacing w:before="0" w:after="40"/>
        <w:ind w:hanging="360" w:start="283"/>
        <w:contextualSpacing/>
        <w:rPr/>
      </w:pPr>
      <w:r>
        <w:rPr>
          <w:sz w:val="21"/>
        </w:rPr>
        <w:t>Explicabilité étendue : déployer un endpoint SHAP en production pour les explications au niveau d'une prédiction individuelle</w:t>
      </w:r>
    </w:p>
    <w:p>
      <w:pPr>
        <w:pStyle w:val="ListBullet"/>
        <w:numPr>
          <w:ilvl w:val="0"/>
          <w:numId w:val="1"/>
        </w:numPr>
        <w:spacing w:before="0" w:after="40"/>
        <w:ind w:hanging="360" w:start="283"/>
        <w:contextualSpacing/>
        <w:rPr/>
      </w:pPr>
      <w:r>
        <w:rPr>
          <w:sz w:val="21"/>
        </w:rPr>
        <w:t>Alerting : configurer des alertes Grafana/PagerDuty pour les dérives de performance du modèle (data drift, concept drift)</w:t>
      </w:r>
    </w:p>
    <w:p>
      <w:pPr>
        <w:pStyle w:val="Heading2"/>
        <w:spacing w:before="240" w:after="100"/>
        <w:rPr/>
      </w:pPr>
      <w:r>
        <w:rPr>
          <w:color w:val="2F75B6"/>
          <w:sz w:val="26"/>
        </w:rPr>
        <w:t>10.3 Conclusion</w:t>
      </w:r>
    </w:p>
    <w:p>
      <w:pPr>
        <w:pStyle w:val="Normal"/>
        <w:spacing w:before="0" w:after="120"/>
        <w:ind w:hanging="0"/>
        <w:rPr/>
      </w:pPr>
      <w:r>
        <w:rPr>
          <w:sz w:val="21"/>
        </w:rPr>
        <w:t>Ce projet illustre concrètement comment les technologies MLOps permettent de transformer une problématique métier (prédiction de rendements agricoles) en un service logiciel industrialisé, maintenable et évolutif. La combinaison de données réelles (FAO) et de modélisation réaliste des processus agronomiques donne au projet une dimension applicative concrète, au-delà de la démonstration technique.</w:t>
      </w:r>
    </w:p>
    <w:p>
      <w:pPr>
        <w:pStyle w:val="Normal"/>
        <w:spacing w:before="0" w:after="120"/>
        <w:ind w:hanging="0"/>
        <w:rPr/>
      </w:pPr>
      <w:r>
        <w:rPr>
          <w:sz w:val="21"/>
        </w:rPr>
        <w:t>L'architecture mise en place constitue une base solide pour un système de conseil agricole à l'échelle d'une coopérative ou d'un organisme public, avec des coûts d'infrastructure limités (déployable sur un VPS standard) et une capacité de montée en charge éprouvée par les composants choisis (Spark, PostgreSQL, FastAPI, Kubernetes-ready).</w:t>
      </w:r>
    </w:p>
    <w:p>
      <w:pPr>
        <w:pStyle w:val="Normal"/>
        <w:pBdr>
          <w:top w:val="single" w:sz="12" w:space="4" w:color="2E74B5"/>
          <w:left w:val="single" w:sz="12" w:space="4" w:color="2E74B5"/>
          <w:bottom w:val="single" w:sz="12" w:space="4" w:color="2E74B5"/>
          <w:right w:val="single" w:sz="12" w:space="4" w:color="2E74B5"/>
        </w:pBdr>
        <w:spacing w:before="80" w:after="160"/>
        <w:ind w:start="227" w:end="227"/>
        <w:rPr/>
      </w:pPr>
      <w:r>
        <w:rPr>
          <w:i/>
          <w:color w:val="2E74B5"/>
          <w:sz w:val="20"/>
        </w:rPr>
        <w:t xml:space="preserve">💻  </w:t>
      </w:r>
      <w:r>
        <w:rPr>
          <w:i/>
          <w:color w:val="2E74B5"/>
          <w:sz w:val="20"/>
        </w:rPr>
        <w:t>Code source disponible sur GitHub — architecture Docker Compose complète démarrable en une commande : make setup</w:t>
      </w:r>
    </w:p>
    <w:sectPr>
      <w:type w:val="nextPage"/>
      <w:pgSz w:w="12240" w:h="15840"/>
      <w:pgMar w:left="1701"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9"/>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LibreOffice/25.8.7.3$Linux_X86_64 LibreOffice_project/580$Build-3</Application>
  <AppVersion>15.0000</AppVersion>
  <Pages>21</Pages>
  <Words>4016</Words>
  <Characters>25202</Characters>
  <CharactersWithSpaces>28539</CharactersWithSpaces>
  <Paragraphs>680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2026-06-12T09:30:29Z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