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120"/>
        <w:jc w:val="center"/>
      </w:pPr>
      <w:r>
        <w:rPr>
          <w:b/>
          <w:color w:val="1F4E79"/>
          <w:sz w:val="56"/>
        </w:rPr>
        <w:t>RAPPORT DE PROJET PROFESSIONNEL</w:t>
      </w:r>
    </w:p>
    <w:p>
      <w:pPr>
        <w:spacing w:after="80"/>
        <w:jc w:val="center"/>
      </w:pPr>
      <w:r>
        <w:rPr>
          <w:b/>
          <w:color w:val="2E74B5"/>
          <w:sz w:val="40"/>
        </w:rPr>
        <w:t>Plateforme MLOps AgriTech</w:t>
      </w:r>
    </w:p>
    <w:p>
      <w:pPr>
        <w:spacing w:after="800"/>
        <w:jc w:val="center"/>
      </w:pPr>
      <w:r>
        <w:rPr>
          <w:i/>
          <w:color w:val="595959"/>
          <w:sz w:val="26"/>
        </w:rPr>
        <w:t>Prédiction de rendements agricoles &amp; Prévision d'utilisation des pesticides</w:t>
      </w:r>
    </w:p>
    <w:p>
      <w:pPr>
        <w:pBdr>
          <w:bottom w:val="single" w:sz="6" w:space="1" w:color="2E74B5"/>
        </w:pBdr>
        <w:spacing w:before="40" w:after="120"/>
      </w:pPr>
    </w:p>
    <w:p>
      <w:pPr>
        <w:spacing w:after="60"/>
        <w:jc w:val="center"/>
      </w:pPr>
      <w:r>
        <w:rPr>
          <w:b/>
          <w:color w:val="2E74B5"/>
          <w:sz w:val="22"/>
        </w:rPr>
        <w:t xml:space="preserve">Auteur : </w:t>
      </w:r>
      <w:r>
        <w:rPr>
          <w:color w:val="595959"/>
          <w:sz w:val="22"/>
        </w:rPr>
        <w:t>Yann LAURENT</w:t>
      </w:r>
    </w:p>
    <w:p>
      <w:pPr>
        <w:spacing w:after="60"/>
        <w:jc w:val="center"/>
      </w:pPr>
      <w:r>
        <w:rPr>
          <w:b/>
          <w:color w:val="2E74B5"/>
          <w:sz w:val="22"/>
        </w:rPr>
        <w:t xml:space="preserve">Formation : </w:t>
      </w:r>
      <w:r>
        <w:rPr>
          <w:color w:val="595959"/>
          <w:sz w:val="22"/>
        </w:rPr>
        <w:t>Master 1 — Innovation Numérique (M1INNO)</w:t>
      </w:r>
    </w:p>
    <w:p>
      <w:pPr>
        <w:spacing w:after="60"/>
        <w:jc w:val="center"/>
      </w:pPr>
      <w:r>
        <w:rPr>
          <w:b/>
          <w:color w:val="2E74B5"/>
          <w:sz w:val="22"/>
        </w:rPr>
        <w:t xml:space="preserve">Établissement : </w:t>
      </w:r>
      <w:r>
        <w:rPr>
          <w:color w:val="595959"/>
          <w:sz w:val="22"/>
        </w:rPr>
        <w:t>École IT</w:t>
      </w:r>
    </w:p>
    <w:p>
      <w:pPr>
        <w:spacing w:after="60"/>
        <w:jc w:val="center"/>
      </w:pPr>
      <w:r>
        <w:rPr>
          <w:b/>
          <w:color w:val="2E74B5"/>
          <w:sz w:val="22"/>
        </w:rPr>
        <w:t xml:space="preserve">Année : </w:t>
      </w:r>
      <w:r>
        <w:rPr>
          <w:color w:val="595959"/>
          <w:sz w:val="22"/>
        </w:rPr>
        <w:t>2025–2026</w:t>
      </w:r>
    </w:p>
    <w:p>
      <w:pPr>
        <w:spacing w:after="60"/>
        <w:jc w:val="center"/>
      </w:pPr>
      <w:r>
        <w:rPr>
          <w:b/>
          <w:color w:val="2E74B5"/>
          <w:sz w:val="22"/>
        </w:rPr>
        <w:t xml:space="preserve">Date : </w:t>
      </w:r>
      <w:r>
        <w:rPr>
          <w:color w:val="595959"/>
          <w:sz w:val="22"/>
        </w:rPr>
        <w:t>11 June 2026</w:t>
      </w:r>
    </w:p>
    <w:p>
      <w:pPr>
        <w:pBdr>
          <w:bottom w:val="single" w:sz="6" w:space="1" w:color="2E74B5"/>
        </w:pBdr>
        <w:spacing w:before="40" w:after="120"/>
      </w:pPr>
    </w:p>
    <w:p>
      <w:r>
        <w:br w:type="page"/>
      </w:r>
    </w:p>
    <w:p>
      <w:pPr>
        <w:pStyle w:val="Heading1"/>
        <w:spacing w:before="360" w:after="160"/>
      </w:pPr>
      <w:r>
        <w:rPr>
          <w:color w:val="2E74B5"/>
          <w:sz w:val="32"/>
        </w:rPr>
        <w:t>Résumé exécutif</w:t>
      </w:r>
    </w:p>
    <w:p>
      <w:pPr>
        <w:spacing w:after="120"/>
        <w:ind w:firstLine="0"/>
      </w:pPr>
      <w:r>
        <w:rPr>
          <w:sz w:val="21"/>
        </w:rPr>
        <w:t>Ce rapport présente la conception et le déploiement d'une plateforme MLOps complète dans le domaine de l'agriculture de précision. Le projet AgriTech M1INNO a été développé dans le cadre du Master 1 Innovation Numérique, avec pour objectif de démontrer la maîtrise de l'ensemble du cycle de vie d'un système de machine learning en production.</w:t>
      </w:r>
    </w:p>
    <w:p>
      <w:pPr>
        <w:spacing w:after="120"/>
        <w:ind w:firstLine="0"/>
      </w:pPr>
      <w:r>
        <w:rPr>
          <w:sz w:val="21"/>
        </w:rPr>
        <w:t>La plateforme intègre l'ingestion de données réelles issues de la FAO (Organisation des Nations Unies pour l'Alimentation et l'Agriculture), la simulation de capteurs IoT agricoles, deux modèles de machine learning (XGBoost et Prophet), une API REST de prédiction, un dashboard interactif, et une infrastructure de monitoring complète — le tout orchestré via Docker Compose et supervisé par une chaîne CI/CD automatisée.</w:t>
      </w:r>
    </w:p>
    <w:tbl>
      <w:tblPr>
        <w:tblStyle w:val="TableGrid"/>
        <w:tblW w:type="auto" w:w="0"/>
        <w:jc w:val="center"/>
        <w:tblLook w:firstColumn="1" w:firstRow="1" w:lastColumn="0" w:lastRow="0" w:noHBand="0" w:noVBand="1" w:val="04A0"/>
      </w:tblPr>
      <w:tblGrid>
        <w:gridCol w:w="4561"/>
        <w:gridCol w:w="4561"/>
      </w:tblGrid>
      <w:tr>
        <w:tc>
          <w:tcPr>
            <w:tcW w:type="dxa" w:w="5102"/>
            <w:shd w:val="clear" w:color="auto" w:fill="1F4E79"/>
            <w:vAlign w:val="center"/>
          </w:tcPr>
          <w:p>
            <w:pPr>
              <w:spacing w:before="60" w:after="60"/>
              <w:jc w:val="center"/>
            </w:pPr>
            <w:r>
              <w:rPr>
                <w:b/>
                <w:color w:val="FFFFFF"/>
                <w:sz w:val="20"/>
              </w:rPr>
              <w:t>Indicateur</w:t>
            </w:r>
          </w:p>
        </w:tc>
        <w:tc>
          <w:tcPr>
            <w:tcW w:type="dxa" w:w="3402"/>
            <w:shd w:val="clear" w:color="auto" w:fill="1F4E79"/>
            <w:vAlign w:val="center"/>
          </w:tcPr>
          <w:p>
            <w:pPr>
              <w:spacing w:before="60" w:after="60"/>
              <w:jc w:val="center"/>
            </w:pPr>
            <w:r>
              <w:rPr>
                <w:b/>
                <w:color w:val="FFFFFF"/>
                <w:sz w:val="20"/>
              </w:rPr>
              <w:t>Valeur</w:t>
            </w:r>
          </w:p>
        </w:tc>
      </w:tr>
      <w:tr>
        <w:tc>
          <w:tcPr>
            <w:tcW w:type="dxa" w:w="5102"/>
            <w:shd w:val="clear" w:color="auto" w:fill="F2F2F2"/>
          </w:tcPr>
          <w:p>
            <w:pPr>
              <w:spacing w:before="40" w:after="40"/>
            </w:pPr>
            <w:r>
              <w:rPr>
                <w:sz w:val="19"/>
              </w:rPr>
              <w:t>Modèle de prédiction de rendement</w:t>
            </w:r>
          </w:p>
        </w:tc>
        <w:tc>
          <w:tcPr>
            <w:tcW w:type="dxa" w:w="3402"/>
            <w:shd w:val="clear" w:color="auto" w:fill="F2F2F2"/>
          </w:tcPr>
          <w:p>
            <w:pPr>
              <w:spacing w:before="40" w:after="40"/>
            </w:pPr>
            <w:r>
              <w:rPr>
                <w:sz w:val="19"/>
              </w:rPr>
              <w:t>XGBoost — R² = 0.8643</w:t>
            </w:r>
          </w:p>
        </w:tc>
      </w:tr>
      <w:tr>
        <w:tc>
          <w:tcPr>
            <w:tcW w:type="dxa" w:w="5102"/>
            <w:shd w:val="clear" w:color="auto" w:fill="FFFFFF"/>
          </w:tcPr>
          <w:p>
            <w:pPr>
              <w:spacing w:before="40" w:after="40"/>
            </w:pPr>
            <w:r>
              <w:rPr>
                <w:sz w:val="19"/>
              </w:rPr>
              <w:t>Erreur moyenne de prédiction (MAE)</w:t>
            </w:r>
          </w:p>
        </w:tc>
        <w:tc>
          <w:tcPr>
            <w:tcW w:type="dxa" w:w="3402"/>
            <w:shd w:val="clear" w:color="auto" w:fill="FFFFFF"/>
          </w:tcPr>
          <w:p>
            <w:pPr>
              <w:spacing w:before="40" w:after="40"/>
            </w:pPr>
            <w:r>
              <w:rPr>
                <w:sz w:val="19"/>
              </w:rPr>
              <w:t>0.4775 t/ha</w:t>
            </w:r>
          </w:p>
        </w:tc>
      </w:tr>
      <w:tr>
        <w:tc>
          <w:tcPr>
            <w:tcW w:type="dxa" w:w="5102"/>
            <w:shd w:val="clear" w:color="auto" w:fill="F2F2F2"/>
          </w:tcPr>
          <w:p>
            <w:pPr>
              <w:spacing w:before="40" w:after="40"/>
            </w:pPr>
            <w:r>
              <w:rPr>
                <w:sz w:val="19"/>
              </w:rPr>
              <w:t>Modèle de prévision pesticides</w:t>
            </w:r>
          </w:p>
        </w:tc>
        <w:tc>
          <w:tcPr>
            <w:tcW w:type="dxa" w:w="3402"/>
            <w:shd w:val="clear" w:color="auto" w:fill="F2F2F2"/>
          </w:tcPr>
          <w:p>
            <w:pPr>
              <w:spacing w:before="40" w:after="40"/>
            </w:pPr>
            <w:r>
              <w:rPr>
                <w:sz w:val="19"/>
              </w:rPr>
              <w:t>Prophet — MAPE moyen = 14.87 %</w:t>
            </w:r>
          </w:p>
        </w:tc>
      </w:tr>
      <w:tr>
        <w:tc>
          <w:tcPr>
            <w:tcW w:type="dxa" w:w="5102"/>
            <w:shd w:val="clear" w:color="auto" w:fill="FFFFFF"/>
          </w:tcPr>
          <w:p>
            <w:pPr>
              <w:spacing w:before="40" w:after="40"/>
            </w:pPr>
            <w:r>
              <w:rPr>
                <w:sz w:val="19"/>
              </w:rPr>
              <w:t>Nombre de parcelles agricoles</w:t>
            </w:r>
          </w:p>
        </w:tc>
        <w:tc>
          <w:tcPr>
            <w:tcW w:type="dxa" w:w="3402"/>
            <w:shd w:val="clear" w:color="auto" w:fill="FFFFFF"/>
          </w:tcPr>
          <w:p>
            <w:pPr>
              <w:spacing w:before="40" w:after="40"/>
            </w:pPr>
            <w:r>
              <w:rPr>
                <w:sz w:val="19"/>
              </w:rPr>
              <w:t>60 (20 pays × 3 parcelles)</w:t>
            </w:r>
          </w:p>
        </w:tc>
      </w:tr>
      <w:tr>
        <w:tc>
          <w:tcPr>
            <w:tcW w:type="dxa" w:w="5102"/>
            <w:shd w:val="clear" w:color="auto" w:fill="F2F2F2"/>
          </w:tcPr>
          <w:p>
            <w:pPr>
              <w:spacing w:before="40" w:after="40"/>
            </w:pPr>
            <w:r>
              <w:rPr>
                <w:sz w:val="19"/>
              </w:rPr>
              <w:t>Observations d'entraînement</w:t>
            </w:r>
          </w:p>
        </w:tc>
        <w:tc>
          <w:tcPr>
            <w:tcW w:type="dxa" w:w="3402"/>
            <w:shd w:val="clear" w:color="auto" w:fill="F2F2F2"/>
          </w:tcPr>
          <w:p>
            <w:pPr>
              <w:spacing w:before="40" w:after="40"/>
            </w:pPr>
            <w:r>
              <w:rPr>
                <w:sz w:val="19"/>
              </w:rPr>
              <w:t>420 relevés capteurs (2010–2016)</w:t>
            </w:r>
          </w:p>
        </w:tc>
      </w:tr>
      <w:tr>
        <w:tc>
          <w:tcPr>
            <w:tcW w:type="dxa" w:w="5102"/>
            <w:shd w:val="clear" w:color="auto" w:fill="FFFFFF"/>
          </w:tcPr>
          <w:p>
            <w:pPr>
              <w:spacing w:before="40" w:after="40"/>
            </w:pPr>
            <w:r>
              <w:rPr>
                <w:sz w:val="19"/>
              </w:rPr>
              <w:t>Données historiques pesticides</w:t>
            </w:r>
          </w:p>
        </w:tc>
        <w:tc>
          <w:tcPr>
            <w:tcW w:type="dxa" w:w="3402"/>
            <w:shd w:val="clear" w:color="auto" w:fill="FFFFFF"/>
          </w:tcPr>
          <w:p>
            <w:pPr>
              <w:spacing w:before="40" w:after="40"/>
            </w:pPr>
            <w:r>
              <w:rPr>
                <w:sz w:val="19"/>
              </w:rPr>
              <w:t>4 349 entrées FAO — 168 pays — 1990–2016</w:t>
            </w:r>
          </w:p>
        </w:tc>
      </w:tr>
      <w:tr>
        <w:tc>
          <w:tcPr>
            <w:tcW w:type="dxa" w:w="5102"/>
            <w:shd w:val="clear" w:color="auto" w:fill="F2F2F2"/>
          </w:tcPr>
          <w:p>
            <w:pPr>
              <w:spacing w:before="40" w:after="40"/>
            </w:pPr>
            <w:r>
              <w:rPr>
                <w:sz w:val="19"/>
              </w:rPr>
              <w:t>Services Docker déployés</w:t>
            </w:r>
          </w:p>
        </w:tc>
        <w:tc>
          <w:tcPr>
            <w:tcW w:type="dxa" w:w="3402"/>
            <w:shd w:val="clear" w:color="auto" w:fill="F2F2F2"/>
          </w:tcPr>
          <w:p>
            <w:pPr>
              <w:spacing w:before="40" w:after="40"/>
            </w:pPr>
            <w:r>
              <w:rPr>
                <w:sz w:val="19"/>
              </w:rPr>
              <w:t>12 conteneurs</w:t>
            </w:r>
          </w:p>
        </w:tc>
      </w:tr>
      <w:tr>
        <w:tc>
          <w:tcPr>
            <w:tcW w:type="dxa" w:w="5102"/>
            <w:shd w:val="clear" w:color="auto" w:fill="FFFFFF"/>
          </w:tcPr>
          <w:p>
            <w:pPr>
              <w:spacing w:before="40" w:after="40"/>
            </w:pPr>
            <w:r>
              <w:rPr>
                <w:sz w:val="19"/>
              </w:rPr>
              <w:t>Tests unitaires</w:t>
            </w:r>
          </w:p>
        </w:tc>
        <w:tc>
          <w:tcPr>
            <w:tcW w:type="dxa" w:w="3402"/>
            <w:shd w:val="clear" w:color="auto" w:fill="FFFFFF"/>
          </w:tcPr>
          <w:p>
            <w:pPr>
              <w:spacing w:before="40" w:after="40"/>
            </w:pPr>
            <w:r>
              <w:rPr>
                <w:sz w:val="19"/>
              </w:rPr>
              <w:t>69 tests — 4 modules</w:t>
            </w:r>
          </w:p>
        </w:tc>
      </w:tr>
      <w:tr>
        <w:tc>
          <w:tcPr>
            <w:tcW w:type="dxa" w:w="5102"/>
            <w:shd w:val="clear" w:color="auto" w:fill="F2F2F2"/>
          </w:tcPr>
          <w:p>
            <w:pPr>
              <w:spacing w:before="40" w:after="40"/>
            </w:pPr>
            <w:r>
              <w:rPr>
                <w:sz w:val="19"/>
              </w:rPr>
              <w:t>Couverture CI/CD</w:t>
            </w:r>
          </w:p>
        </w:tc>
        <w:tc>
          <w:tcPr>
            <w:tcW w:type="dxa" w:w="3402"/>
            <w:shd w:val="clear" w:color="auto" w:fill="F2F2F2"/>
          </w:tcPr>
          <w:p>
            <w:pPr>
              <w:spacing w:before="40" w:after="40"/>
            </w:pPr>
            <w:r>
              <w:rPr>
                <w:sz w:val="19"/>
              </w:rPr>
              <w:t>Semantic-release, Pylint, Pytest</w:t>
            </w:r>
          </w:p>
        </w:tc>
      </w:tr>
    </w:tbl>
    <w:p/>
    <w:p>
      <w:pPr>
        <w:pStyle w:val="Heading1"/>
        <w:spacing w:before="360" w:after="160"/>
      </w:pPr>
      <w:r>
        <w:rPr>
          <w:color w:val="2E74B5"/>
          <w:sz w:val="32"/>
        </w:rPr>
        <w:t>1. Contexte et objectifs du projet</w:t>
      </w:r>
    </w:p>
    <w:p>
      <w:pPr>
        <w:pStyle w:val="Heading2"/>
        <w:spacing w:before="240" w:after="100"/>
      </w:pPr>
      <w:r>
        <w:rPr>
          <w:color w:val="2F75B6"/>
          <w:sz w:val="26"/>
        </w:rPr>
        <w:t>1.1 Problématique</w:t>
      </w:r>
    </w:p>
    <w:p>
      <w:pPr>
        <w:spacing w:after="120"/>
        <w:ind w:firstLine="0"/>
      </w:pPr>
      <w:r>
        <w:rPr>
          <w:sz w:val="21"/>
        </w:rPr>
        <w:t>L'agriculture de précision est un domaine en forte croissance où les technologies de l'information jouent un rôle central. Les exploitants agricoles font face à une double contrainte : optimiser les rendements dans un contexte de changement climatique, tout en réduisant les intrants (pesticides, eau, engrais) pour des raisons économiques et environnementales.</w:t>
      </w:r>
    </w:p>
    <w:p>
      <w:pPr>
        <w:spacing w:after="120"/>
        <w:ind w:firstLine="0"/>
      </w:pPr>
      <w:r>
        <w:rPr>
          <w:sz w:val="21"/>
        </w:rPr>
        <w:t>La prédiction du rendement à partir de données multi-sources (sol, météo, historique phytosanitaire) permet d'anticiper les résultats et d'adapter les pratiques agricoles. La prévision de l'utilisation des pesticides permet d'identifier des tendances structurelles et d'orienter les politiques publiques.</w:t>
      </w:r>
    </w:p>
    <w:p>
      <w:pPr>
        <w:pStyle w:val="Heading2"/>
        <w:spacing w:before="240" w:after="100"/>
      </w:pPr>
      <w:r>
        <w:rPr>
          <w:color w:val="2F75B6"/>
          <w:sz w:val="26"/>
        </w:rPr>
        <w:t>1.2 Objectifs</w:t>
      </w:r>
    </w:p>
    <w:p>
      <w:pPr>
        <w:pStyle w:val="ListBullet"/>
        <w:spacing w:after="40"/>
        <w:ind w:left="283"/>
      </w:pPr>
      <w:r>
        <w:rPr>
          <w:sz w:val="21"/>
        </w:rPr>
        <w:t>Construire un pipeline MLOps complet, reproductible et déployable en production</w:t>
      </w:r>
    </w:p>
    <w:p>
      <w:pPr>
        <w:pStyle w:val="ListBullet"/>
        <w:spacing w:after="40"/>
        <w:ind w:left="283"/>
      </w:pPr>
      <w:r>
        <w:rPr>
          <w:sz w:val="21"/>
        </w:rPr>
        <w:t>Ingérer et transformer des données réelles (FAO) via Apache Spark</w:t>
      </w:r>
    </w:p>
    <w:p>
      <w:pPr>
        <w:pStyle w:val="ListBullet"/>
        <w:spacing w:after="40"/>
        <w:ind w:left="283"/>
      </w:pPr>
      <w:r>
        <w:rPr>
          <w:sz w:val="21"/>
        </w:rPr>
        <w:t>Développer deux modèles ML : prédiction de rendement (XGBoost) et prévision de série temporelle (Prophet)</w:t>
      </w:r>
    </w:p>
    <w:p>
      <w:pPr>
        <w:pStyle w:val="ListBullet"/>
        <w:spacing w:after="40"/>
        <w:ind w:left="283"/>
      </w:pPr>
      <w:r>
        <w:rPr>
          <w:sz w:val="21"/>
        </w:rPr>
        <w:t>Exposer les prédictions via une API REST documentée avec FastAPI</w:t>
      </w:r>
    </w:p>
    <w:p>
      <w:pPr>
        <w:pStyle w:val="ListBullet"/>
        <w:spacing w:after="40"/>
        <w:ind w:left="283"/>
      </w:pPr>
      <w:r>
        <w:rPr>
          <w:sz w:val="21"/>
        </w:rPr>
        <w:t>Visualiser les données et résultats via un dashboard Streamlit interactif</w:t>
      </w:r>
    </w:p>
    <w:p>
      <w:pPr>
        <w:pStyle w:val="ListBullet"/>
        <w:spacing w:after="40"/>
        <w:ind w:left="283"/>
      </w:pPr>
      <w:r>
        <w:rPr>
          <w:sz w:val="21"/>
        </w:rPr>
        <w:t>Assurer la traçabilité des expériences ML avec MLflow</w:t>
      </w:r>
    </w:p>
    <w:p>
      <w:pPr>
        <w:pStyle w:val="ListBullet"/>
        <w:spacing w:after="40"/>
        <w:ind w:left="283"/>
      </w:pPr>
      <w:r>
        <w:rPr>
          <w:sz w:val="21"/>
        </w:rPr>
        <w:t>Automatiser les pipelines avec Apache Airflow</w:t>
      </w:r>
    </w:p>
    <w:p>
      <w:pPr>
        <w:pStyle w:val="ListBullet"/>
        <w:spacing w:after="40"/>
        <w:ind w:left="283"/>
      </w:pPr>
      <w:r>
        <w:rPr>
          <w:sz w:val="21"/>
        </w:rPr>
        <w:t>Superviser l'ensemble avec Prometheus et Grafana</w:t>
      </w:r>
    </w:p>
    <w:p>
      <w:pPr>
        <w:pStyle w:val="ListBullet"/>
        <w:spacing w:after="40"/>
        <w:ind w:left="283"/>
      </w:pPr>
      <w:r>
        <w:rPr>
          <w:sz w:val="21"/>
        </w:rPr>
        <w:t>Garantir la qualité du code via CI/CD (tests, linting, semantic versioning)</w:t>
      </w:r>
    </w:p>
    <w:p>
      <w:pPr>
        <w:pStyle w:val="Heading2"/>
        <w:spacing w:before="240" w:after="100"/>
      </w:pPr>
      <w:r>
        <w:rPr>
          <w:color w:val="2F75B6"/>
          <w:sz w:val="26"/>
        </w:rPr>
        <w:t>1.3 Périmètre fonctionnel</w:t>
      </w:r>
    </w:p>
    <w:p>
      <w:pPr>
        <w:spacing w:after="120"/>
        <w:ind w:firstLine="0"/>
      </w:pPr>
      <w:r>
        <w:rPr>
          <w:sz w:val="21"/>
        </w:rPr>
        <w:t>Le projet couvre l'intégralité du cycle MLOps : de la collecte des données brutes jusqu'à la mise en production d'un service de prédiction accessible, en passant par le traitement, l'entraînement, l'évaluation, le déploiement et la supervision. Il ne s'agit pas d'un prototype de recherche mais d'une architecture orientée production, pensée pour être maintenue, évoluée et scalée.</w:t>
      </w:r>
    </w:p>
    <w:p>
      <w:r>
        <w:br w:type="page"/>
      </w:r>
    </w:p>
    <w:p>
      <w:pPr>
        <w:pStyle w:val="Heading1"/>
        <w:spacing w:before="360" w:after="160"/>
      </w:pPr>
      <w:r>
        <w:rPr>
          <w:color w:val="2E74B5"/>
          <w:sz w:val="32"/>
        </w:rPr>
        <w:t>2. Architecture technique</w:t>
      </w:r>
    </w:p>
    <w:p>
      <w:pPr>
        <w:pStyle w:val="Heading2"/>
        <w:spacing w:before="240" w:after="100"/>
      </w:pPr>
      <w:r>
        <w:rPr>
          <w:color w:val="2F75B6"/>
          <w:sz w:val="26"/>
        </w:rPr>
        <w:t>2.1 Vue d'ensemble</w:t>
      </w:r>
    </w:p>
    <w:p>
      <w:pPr>
        <w:spacing w:after="120"/>
        <w:ind w:firstLine="0"/>
      </w:pPr>
      <w:r>
        <w:rPr>
          <w:sz w:val="21"/>
        </w:rPr>
        <w:t>L'ensemble de la plateforme est déployé via Docker Compose sur un seul hôte, avec un réseau interne dédié (agritech-net). Cette approche garantit l'isolation des services, la portabilité et la reproductibilité de l'environnement de déploiement.</w:t>
      </w:r>
    </w:p>
    <w:p>
      <w:pPr>
        <w:spacing w:after="120"/>
        <w:ind w:firstLine="0"/>
      </w:pPr>
      <w:r>
        <w:rPr>
          <w:sz w:val="21"/>
        </w:rPr>
        <w:t>L'architecture suit le patron classique des plateformes MLOps modernes : une couche de données (PostgreSQL), une couche de traitement (Spark), une couche d'orchestration (Airflow), une couche ML (MLflow + runners), une couche d'exposition (FastAPI) et une couche de supervision (Prometheus + Grafana).</w:t>
      </w:r>
    </w:p>
    <w:p>
      <w:pPr>
        <w:pStyle w:val="Heading2"/>
        <w:spacing w:before="240" w:after="100"/>
      </w:pPr>
      <w:r>
        <w:rPr>
          <w:color w:val="2F75B6"/>
          <w:sz w:val="26"/>
        </w:rPr>
        <w:t>2.2 Services Docker</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F4E79"/>
            <w:vAlign w:val="center"/>
          </w:tcPr>
          <w:p>
            <w:pPr>
              <w:spacing w:before="60" w:after="60"/>
              <w:jc w:val="center"/>
            </w:pPr>
            <w:r>
              <w:rPr>
                <w:b/>
                <w:color w:val="FFFFFF"/>
                <w:sz w:val="20"/>
              </w:rPr>
              <w:t>Service</w:t>
            </w:r>
          </w:p>
        </w:tc>
        <w:tc>
          <w:tcPr>
            <w:tcW w:type="dxa" w:w="1984"/>
            <w:shd w:val="clear" w:color="auto" w:fill="1F4E79"/>
            <w:vAlign w:val="center"/>
          </w:tcPr>
          <w:p>
            <w:pPr>
              <w:spacing w:before="60" w:after="60"/>
              <w:jc w:val="center"/>
            </w:pPr>
            <w:r>
              <w:rPr>
                <w:b/>
                <w:color w:val="FFFFFF"/>
                <w:sz w:val="20"/>
              </w:rPr>
              <w:t>Image / Build</w:t>
            </w:r>
          </w:p>
        </w:tc>
        <w:tc>
          <w:tcPr>
            <w:tcW w:type="dxa" w:w="1134"/>
            <w:shd w:val="clear" w:color="auto" w:fill="1F4E79"/>
            <w:vAlign w:val="center"/>
          </w:tcPr>
          <w:p>
            <w:pPr>
              <w:spacing w:before="60" w:after="60"/>
              <w:jc w:val="center"/>
            </w:pPr>
            <w:r>
              <w:rPr>
                <w:b/>
                <w:color w:val="FFFFFF"/>
                <w:sz w:val="20"/>
              </w:rPr>
              <w:t>Port(s)</w:t>
            </w:r>
          </w:p>
        </w:tc>
        <w:tc>
          <w:tcPr>
            <w:tcW w:type="dxa" w:w="3969"/>
            <w:shd w:val="clear" w:color="auto" w:fill="1F4E79"/>
            <w:vAlign w:val="center"/>
          </w:tcPr>
          <w:p>
            <w:pPr>
              <w:spacing w:before="60" w:after="60"/>
              <w:jc w:val="center"/>
            </w:pPr>
            <w:r>
              <w:rPr>
                <w:b/>
                <w:color w:val="FFFFFF"/>
                <w:sz w:val="20"/>
              </w:rPr>
              <w:t>Rôle</w:t>
            </w:r>
          </w:p>
        </w:tc>
      </w:tr>
      <w:tr>
        <w:tc>
          <w:tcPr>
            <w:tcW w:type="dxa" w:w="1984"/>
            <w:shd w:val="clear" w:color="auto" w:fill="F2F2F2"/>
          </w:tcPr>
          <w:p>
            <w:pPr>
              <w:spacing w:before="40" w:after="40"/>
            </w:pPr>
            <w:r>
              <w:rPr>
                <w:sz w:val="19"/>
              </w:rPr>
              <w:t>postgres</w:t>
            </w:r>
          </w:p>
        </w:tc>
        <w:tc>
          <w:tcPr>
            <w:tcW w:type="dxa" w:w="1984"/>
            <w:shd w:val="clear" w:color="auto" w:fill="F2F2F2"/>
          </w:tcPr>
          <w:p>
            <w:pPr>
              <w:spacing w:before="40" w:after="40"/>
            </w:pPr>
            <w:r>
              <w:rPr>
                <w:sz w:val="19"/>
              </w:rPr>
              <w:t>postgres:16</w:t>
            </w:r>
          </w:p>
        </w:tc>
        <w:tc>
          <w:tcPr>
            <w:tcW w:type="dxa" w:w="1134"/>
            <w:shd w:val="clear" w:color="auto" w:fill="F2F2F2"/>
          </w:tcPr>
          <w:p>
            <w:pPr>
              <w:spacing w:before="40" w:after="40"/>
            </w:pPr>
            <w:r>
              <w:rPr>
                <w:sz w:val="19"/>
              </w:rPr>
              <w:t>5432</w:t>
            </w:r>
          </w:p>
        </w:tc>
        <w:tc>
          <w:tcPr>
            <w:tcW w:type="dxa" w:w="3969"/>
            <w:shd w:val="clear" w:color="auto" w:fill="F2F2F2"/>
          </w:tcPr>
          <w:p>
            <w:pPr>
              <w:spacing w:before="40" w:after="40"/>
            </w:pPr>
            <w:r>
              <w:rPr>
                <w:sz w:val="19"/>
              </w:rPr>
              <w:t>Base de données principale (données projet)</w:t>
            </w:r>
          </w:p>
        </w:tc>
      </w:tr>
      <w:tr>
        <w:tc>
          <w:tcPr>
            <w:tcW w:type="dxa" w:w="1984"/>
            <w:shd w:val="clear" w:color="auto" w:fill="FFFFFF"/>
          </w:tcPr>
          <w:p>
            <w:pPr>
              <w:spacing w:before="40" w:after="40"/>
            </w:pPr>
            <w:r>
              <w:rPr>
                <w:sz w:val="19"/>
              </w:rPr>
              <w:t>postgres-airflow</w:t>
            </w:r>
          </w:p>
        </w:tc>
        <w:tc>
          <w:tcPr>
            <w:tcW w:type="dxa" w:w="1984"/>
            <w:shd w:val="clear" w:color="auto" w:fill="FFFFFF"/>
          </w:tcPr>
          <w:p>
            <w:pPr>
              <w:spacing w:before="40" w:after="40"/>
            </w:pPr>
            <w:r>
              <w:rPr>
                <w:sz w:val="19"/>
              </w:rPr>
              <w:t>postgres:16</w:t>
            </w:r>
          </w:p>
        </w:tc>
        <w:tc>
          <w:tcPr>
            <w:tcW w:type="dxa" w:w="1134"/>
            <w:shd w:val="clear" w:color="auto" w:fill="FFFFFF"/>
          </w:tcPr>
          <w:p>
            <w:pPr>
              <w:spacing w:before="40" w:after="40"/>
            </w:pPr>
            <w:r>
              <w:rPr>
                <w:sz w:val="19"/>
              </w:rPr>
              <w:t>—</w:t>
            </w:r>
          </w:p>
        </w:tc>
        <w:tc>
          <w:tcPr>
            <w:tcW w:type="dxa" w:w="3969"/>
            <w:shd w:val="clear" w:color="auto" w:fill="FFFFFF"/>
          </w:tcPr>
          <w:p>
            <w:pPr>
              <w:spacing w:before="40" w:after="40"/>
            </w:pPr>
            <w:r>
              <w:rPr>
                <w:sz w:val="19"/>
              </w:rPr>
              <w:t>Métadonnées Airflow (interne)</w:t>
            </w:r>
          </w:p>
        </w:tc>
      </w:tr>
      <w:tr>
        <w:tc>
          <w:tcPr>
            <w:tcW w:type="dxa" w:w="1984"/>
            <w:shd w:val="clear" w:color="auto" w:fill="F2F2F2"/>
          </w:tcPr>
          <w:p>
            <w:pPr>
              <w:spacing w:before="40" w:after="40"/>
            </w:pPr>
            <w:r>
              <w:rPr>
                <w:sz w:val="19"/>
              </w:rPr>
              <w:t>postgres-mlflow</w:t>
            </w:r>
          </w:p>
        </w:tc>
        <w:tc>
          <w:tcPr>
            <w:tcW w:type="dxa" w:w="1984"/>
            <w:shd w:val="clear" w:color="auto" w:fill="F2F2F2"/>
          </w:tcPr>
          <w:p>
            <w:pPr>
              <w:spacing w:before="40" w:after="40"/>
            </w:pPr>
            <w:r>
              <w:rPr>
                <w:sz w:val="19"/>
              </w:rPr>
              <w:t>postgres:16</w:t>
            </w:r>
          </w:p>
        </w:tc>
        <w:tc>
          <w:tcPr>
            <w:tcW w:type="dxa" w:w="1134"/>
            <w:shd w:val="clear" w:color="auto" w:fill="F2F2F2"/>
          </w:tcPr>
          <w:p>
            <w:pPr>
              <w:spacing w:before="40" w:after="40"/>
            </w:pPr>
            <w:r>
              <w:rPr>
                <w:sz w:val="19"/>
              </w:rPr>
              <w:t>—</w:t>
            </w:r>
          </w:p>
        </w:tc>
        <w:tc>
          <w:tcPr>
            <w:tcW w:type="dxa" w:w="3969"/>
            <w:shd w:val="clear" w:color="auto" w:fill="F2F2F2"/>
          </w:tcPr>
          <w:p>
            <w:pPr>
              <w:spacing w:before="40" w:after="40"/>
            </w:pPr>
            <w:r>
              <w:rPr>
                <w:sz w:val="19"/>
              </w:rPr>
              <w:t>Backend MLflow (interne)</w:t>
            </w:r>
          </w:p>
        </w:tc>
      </w:tr>
      <w:tr>
        <w:tc>
          <w:tcPr>
            <w:tcW w:type="dxa" w:w="1984"/>
            <w:shd w:val="clear" w:color="auto" w:fill="FFFFFF"/>
          </w:tcPr>
          <w:p>
            <w:pPr>
              <w:spacing w:before="40" w:after="40"/>
            </w:pPr>
            <w:r>
              <w:rPr>
                <w:sz w:val="19"/>
              </w:rPr>
              <w:t>spark-master</w:t>
            </w:r>
          </w:p>
        </w:tc>
        <w:tc>
          <w:tcPr>
            <w:tcW w:type="dxa" w:w="1984"/>
            <w:shd w:val="clear" w:color="auto" w:fill="FFFFFF"/>
          </w:tcPr>
          <w:p>
            <w:pPr>
              <w:spacing w:before="40" w:after="40"/>
            </w:pPr>
            <w:r>
              <w:rPr>
                <w:sz w:val="19"/>
              </w:rPr>
              <w:t>apache/spark:3.5.3</w:t>
            </w:r>
          </w:p>
        </w:tc>
        <w:tc>
          <w:tcPr>
            <w:tcW w:type="dxa" w:w="1134"/>
            <w:shd w:val="clear" w:color="auto" w:fill="FFFFFF"/>
          </w:tcPr>
          <w:p>
            <w:pPr>
              <w:spacing w:before="40" w:after="40"/>
            </w:pPr>
            <w:r>
              <w:rPr>
                <w:sz w:val="19"/>
              </w:rPr>
              <w:t>8080, 7077</w:t>
            </w:r>
          </w:p>
        </w:tc>
        <w:tc>
          <w:tcPr>
            <w:tcW w:type="dxa" w:w="3969"/>
            <w:shd w:val="clear" w:color="auto" w:fill="FFFFFF"/>
          </w:tcPr>
          <w:p>
            <w:pPr>
              <w:spacing w:before="40" w:after="40"/>
            </w:pPr>
            <w:r>
              <w:rPr>
                <w:sz w:val="19"/>
              </w:rPr>
              <w:t>Interface Spark + point d'entrée cluster</w:t>
            </w:r>
          </w:p>
        </w:tc>
      </w:tr>
      <w:tr>
        <w:tc>
          <w:tcPr>
            <w:tcW w:type="dxa" w:w="1984"/>
            <w:shd w:val="clear" w:color="auto" w:fill="F2F2F2"/>
          </w:tcPr>
          <w:p>
            <w:pPr>
              <w:spacing w:before="40" w:after="40"/>
            </w:pPr>
            <w:r>
              <w:rPr>
                <w:sz w:val="19"/>
              </w:rPr>
              <w:t>spark-worker</w:t>
            </w:r>
          </w:p>
        </w:tc>
        <w:tc>
          <w:tcPr>
            <w:tcW w:type="dxa" w:w="1984"/>
            <w:shd w:val="clear" w:color="auto" w:fill="F2F2F2"/>
          </w:tcPr>
          <w:p>
            <w:pPr>
              <w:spacing w:before="40" w:after="40"/>
            </w:pPr>
            <w:r>
              <w:rPr>
                <w:sz w:val="19"/>
              </w:rPr>
              <w:t>apache/spark:3.5.3</w:t>
            </w:r>
          </w:p>
        </w:tc>
        <w:tc>
          <w:tcPr>
            <w:tcW w:type="dxa" w:w="1134"/>
            <w:shd w:val="clear" w:color="auto" w:fill="F2F2F2"/>
          </w:tcPr>
          <w:p>
            <w:pPr>
              <w:spacing w:before="40" w:after="40"/>
            </w:pPr>
            <w:r>
              <w:rPr>
                <w:sz w:val="19"/>
              </w:rPr>
              <w:t>—</w:t>
            </w:r>
          </w:p>
        </w:tc>
        <w:tc>
          <w:tcPr>
            <w:tcW w:type="dxa" w:w="3969"/>
            <w:shd w:val="clear" w:color="auto" w:fill="F2F2F2"/>
          </w:tcPr>
          <w:p>
            <w:pPr>
              <w:spacing w:before="40" w:after="40"/>
            </w:pPr>
            <w:r>
              <w:rPr>
                <w:sz w:val="19"/>
              </w:rPr>
              <w:t>Worker de calcul Spark (6 Go, 4 cœurs)</w:t>
            </w:r>
          </w:p>
        </w:tc>
      </w:tr>
      <w:tr>
        <w:tc>
          <w:tcPr>
            <w:tcW w:type="dxa" w:w="1984"/>
            <w:shd w:val="clear" w:color="auto" w:fill="FFFFFF"/>
          </w:tcPr>
          <w:p>
            <w:pPr>
              <w:spacing w:before="40" w:after="40"/>
            </w:pPr>
            <w:r>
              <w:rPr>
                <w:sz w:val="19"/>
              </w:rPr>
              <w:t>mlflow</w:t>
            </w:r>
          </w:p>
        </w:tc>
        <w:tc>
          <w:tcPr>
            <w:tcW w:type="dxa" w:w="1984"/>
            <w:shd w:val="clear" w:color="auto" w:fill="FFFFFF"/>
          </w:tcPr>
          <w:p>
            <w:pPr>
              <w:spacing w:before="40" w:after="40"/>
            </w:pPr>
            <w:r>
              <w:rPr>
                <w:sz w:val="19"/>
              </w:rPr>
              <w:t>Dockerfile.mlflow</w:t>
            </w:r>
          </w:p>
        </w:tc>
        <w:tc>
          <w:tcPr>
            <w:tcW w:type="dxa" w:w="1134"/>
            <w:shd w:val="clear" w:color="auto" w:fill="FFFFFF"/>
          </w:tcPr>
          <w:p>
            <w:pPr>
              <w:spacing w:before="40" w:after="40"/>
            </w:pPr>
            <w:r>
              <w:rPr>
                <w:sz w:val="19"/>
              </w:rPr>
              <w:t>5000</w:t>
            </w:r>
          </w:p>
        </w:tc>
        <w:tc>
          <w:tcPr>
            <w:tcW w:type="dxa" w:w="3969"/>
            <w:shd w:val="clear" w:color="auto" w:fill="FFFFFF"/>
          </w:tcPr>
          <w:p>
            <w:pPr>
              <w:spacing w:before="40" w:after="40"/>
            </w:pPr>
            <w:r>
              <w:rPr>
                <w:sz w:val="19"/>
              </w:rPr>
              <w:t>Tracking server + model registry</w:t>
            </w:r>
          </w:p>
        </w:tc>
      </w:tr>
      <w:tr>
        <w:tc>
          <w:tcPr>
            <w:tcW w:type="dxa" w:w="1984"/>
            <w:shd w:val="clear" w:color="auto" w:fill="F2F2F2"/>
          </w:tcPr>
          <w:p>
            <w:pPr>
              <w:spacing w:before="40" w:after="40"/>
            </w:pPr>
            <w:r>
              <w:rPr>
                <w:sz w:val="19"/>
              </w:rPr>
              <w:t>airflow-webserver</w:t>
            </w:r>
          </w:p>
        </w:tc>
        <w:tc>
          <w:tcPr>
            <w:tcW w:type="dxa" w:w="1984"/>
            <w:shd w:val="clear" w:color="auto" w:fill="F2F2F2"/>
          </w:tcPr>
          <w:p>
            <w:pPr>
              <w:spacing w:before="40" w:after="40"/>
            </w:pPr>
            <w:r>
              <w:rPr>
                <w:sz w:val="19"/>
              </w:rPr>
              <w:t>Dockerfile.airflow</w:t>
            </w:r>
          </w:p>
        </w:tc>
        <w:tc>
          <w:tcPr>
            <w:tcW w:type="dxa" w:w="1134"/>
            <w:shd w:val="clear" w:color="auto" w:fill="F2F2F2"/>
          </w:tcPr>
          <w:p>
            <w:pPr>
              <w:spacing w:before="40" w:after="40"/>
            </w:pPr>
            <w:r>
              <w:rPr>
                <w:sz w:val="19"/>
              </w:rPr>
              <w:t>8081</w:t>
            </w:r>
          </w:p>
        </w:tc>
        <w:tc>
          <w:tcPr>
            <w:tcW w:type="dxa" w:w="3969"/>
            <w:shd w:val="clear" w:color="auto" w:fill="F2F2F2"/>
          </w:tcPr>
          <w:p>
            <w:pPr>
              <w:spacing w:before="40" w:after="40"/>
            </w:pPr>
            <w:r>
              <w:rPr>
                <w:sz w:val="19"/>
              </w:rPr>
              <w:t>Interface Airflow</w:t>
            </w:r>
          </w:p>
        </w:tc>
      </w:tr>
      <w:tr>
        <w:tc>
          <w:tcPr>
            <w:tcW w:type="dxa" w:w="1984"/>
            <w:shd w:val="clear" w:color="auto" w:fill="FFFFFF"/>
          </w:tcPr>
          <w:p>
            <w:pPr>
              <w:spacing w:before="40" w:after="40"/>
            </w:pPr>
            <w:r>
              <w:rPr>
                <w:sz w:val="19"/>
              </w:rPr>
              <w:t>airflow-scheduler</w:t>
            </w:r>
          </w:p>
        </w:tc>
        <w:tc>
          <w:tcPr>
            <w:tcW w:type="dxa" w:w="1984"/>
            <w:shd w:val="clear" w:color="auto" w:fill="FFFFFF"/>
          </w:tcPr>
          <w:p>
            <w:pPr>
              <w:spacing w:before="40" w:after="40"/>
            </w:pPr>
            <w:r>
              <w:rPr>
                <w:sz w:val="19"/>
              </w:rPr>
              <w:t>Dockerfile.airflow</w:t>
            </w:r>
          </w:p>
        </w:tc>
        <w:tc>
          <w:tcPr>
            <w:tcW w:type="dxa" w:w="1134"/>
            <w:shd w:val="clear" w:color="auto" w:fill="FFFFFF"/>
          </w:tcPr>
          <w:p>
            <w:pPr>
              <w:spacing w:before="40" w:after="40"/>
            </w:pPr>
            <w:r>
              <w:rPr>
                <w:sz w:val="19"/>
              </w:rPr>
              <w:t>—</w:t>
            </w:r>
          </w:p>
        </w:tc>
        <w:tc>
          <w:tcPr>
            <w:tcW w:type="dxa" w:w="3969"/>
            <w:shd w:val="clear" w:color="auto" w:fill="FFFFFF"/>
          </w:tcPr>
          <w:p>
            <w:pPr>
              <w:spacing w:before="40" w:after="40"/>
            </w:pPr>
            <w:r>
              <w:rPr>
                <w:sz w:val="19"/>
              </w:rPr>
              <w:t>Orchestration des DAGs</w:t>
            </w:r>
          </w:p>
        </w:tc>
      </w:tr>
      <w:tr>
        <w:tc>
          <w:tcPr>
            <w:tcW w:type="dxa" w:w="1984"/>
            <w:shd w:val="clear" w:color="auto" w:fill="F2F2F2"/>
          </w:tcPr>
          <w:p>
            <w:pPr>
              <w:spacing w:before="40" w:after="40"/>
            </w:pPr>
            <w:r>
              <w:rPr>
                <w:sz w:val="19"/>
              </w:rPr>
              <w:t>api</w:t>
            </w:r>
          </w:p>
        </w:tc>
        <w:tc>
          <w:tcPr>
            <w:tcW w:type="dxa" w:w="1984"/>
            <w:shd w:val="clear" w:color="auto" w:fill="F2F2F2"/>
          </w:tcPr>
          <w:p>
            <w:pPr>
              <w:spacing w:before="40" w:after="40"/>
            </w:pPr>
            <w:r>
              <w:rPr>
                <w:sz w:val="19"/>
              </w:rPr>
              <w:t>Dockerfile.api</w:t>
            </w:r>
          </w:p>
        </w:tc>
        <w:tc>
          <w:tcPr>
            <w:tcW w:type="dxa" w:w="1134"/>
            <w:shd w:val="clear" w:color="auto" w:fill="F2F2F2"/>
          </w:tcPr>
          <w:p>
            <w:pPr>
              <w:spacing w:before="40" w:after="40"/>
            </w:pPr>
            <w:r>
              <w:rPr>
                <w:sz w:val="19"/>
              </w:rPr>
              <w:t>8000</w:t>
            </w:r>
          </w:p>
        </w:tc>
        <w:tc>
          <w:tcPr>
            <w:tcW w:type="dxa" w:w="3969"/>
            <w:shd w:val="clear" w:color="auto" w:fill="F2F2F2"/>
          </w:tcPr>
          <w:p>
            <w:pPr>
              <w:spacing w:before="40" w:after="40"/>
            </w:pPr>
            <w:r>
              <w:rPr>
                <w:sz w:val="19"/>
              </w:rPr>
              <w:t>API FastAPI de prédiction</w:t>
            </w:r>
          </w:p>
        </w:tc>
      </w:tr>
      <w:tr>
        <w:tc>
          <w:tcPr>
            <w:tcW w:type="dxa" w:w="1984"/>
            <w:shd w:val="clear" w:color="auto" w:fill="FFFFFF"/>
          </w:tcPr>
          <w:p>
            <w:pPr>
              <w:spacing w:before="40" w:after="40"/>
            </w:pPr>
            <w:r>
              <w:rPr>
                <w:sz w:val="19"/>
              </w:rPr>
              <w:t>dashboard</w:t>
            </w:r>
          </w:p>
        </w:tc>
        <w:tc>
          <w:tcPr>
            <w:tcW w:type="dxa" w:w="1984"/>
            <w:shd w:val="clear" w:color="auto" w:fill="FFFFFF"/>
          </w:tcPr>
          <w:p>
            <w:pPr>
              <w:spacing w:before="40" w:after="40"/>
            </w:pPr>
            <w:r>
              <w:rPr>
                <w:sz w:val="19"/>
              </w:rPr>
              <w:t>Dockerfile.dashboard</w:t>
            </w:r>
          </w:p>
        </w:tc>
        <w:tc>
          <w:tcPr>
            <w:tcW w:type="dxa" w:w="1134"/>
            <w:shd w:val="clear" w:color="auto" w:fill="FFFFFF"/>
          </w:tcPr>
          <w:p>
            <w:pPr>
              <w:spacing w:before="40" w:after="40"/>
            </w:pPr>
            <w:r>
              <w:rPr>
                <w:sz w:val="19"/>
              </w:rPr>
              <w:t>8501</w:t>
            </w:r>
          </w:p>
        </w:tc>
        <w:tc>
          <w:tcPr>
            <w:tcW w:type="dxa" w:w="3969"/>
            <w:shd w:val="clear" w:color="auto" w:fill="FFFFFF"/>
          </w:tcPr>
          <w:p>
            <w:pPr>
              <w:spacing w:before="40" w:after="40"/>
            </w:pPr>
            <w:r>
              <w:rPr>
                <w:sz w:val="19"/>
              </w:rPr>
              <w:t>Dashboard Streamlit</w:t>
            </w:r>
          </w:p>
        </w:tc>
      </w:tr>
      <w:tr>
        <w:tc>
          <w:tcPr>
            <w:tcW w:type="dxa" w:w="1984"/>
            <w:shd w:val="clear" w:color="auto" w:fill="F2F2F2"/>
          </w:tcPr>
          <w:p>
            <w:pPr>
              <w:spacing w:before="40" w:after="40"/>
            </w:pPr>
            <w:r>
              <w:rPr>
                <w:sz w:val="19"/>
              </w:rPr>
              <w:t>prometheus</w:t>
            </w:r>
          </w:p>
        </w:tc>
        <w:tc>
          <w:tcPr>
            <w:tcW w:type="dxa" w:w="1984"/>
            <w:shd w:val="clear" w:color="auto" w:fill="F2F2F2"/>
          </w:tcPr>
          <w:p>
            <w:pPr>
              <w:spacing w:before="40" w:after="40"/>
            </w:pPr>
            <w:r>
              <w:rPr>
                <w:sz w:val="19"/>
              </w:rPr>
              <w:t>prom/prometheus:2.53</w:t>
            </w:r>
          </w:p>
        </w:tc>
        <w:tc>
          <w:tcPr>
            <w:tcW w:type="dxa" w:w="1134"/>
            <w:shd w:val="clear" w:color="auto" w:fill="F2F2F2"/>
          </w:tcPr>
          <w:p>
            <w:pPr>
              <w:spacing w:before="40" w:after="40"/>
            </w:pPr>
            <w:r>
              <w:rPr>
                <w:sz w:val="19"/>
              </w:rPr>
              <w:t>9090</w:t>
            </w:r>
          </w:p>
        </w:tc>
        <w:tc>
          <w:tcPr>
            <w:tcW w:type="dxa" w:w="3969"/>
            <w:shd w:val="clear" w:color="auto" w:fill="F2F2F2"/>
          </w:tcPr>
          <w:p>
            <w:pPr>
              <w:spacing w:before="40" w:after="40"/>
            </w:pPr>
            <w:r>
              <w:rPr>
                <w:sz w:val="19"/>
              </w:rPr>
              <w:t>Collecte des métriques</w:t>
            </w:r>
          </w:p>
        </w:tc>
      </w:tr>
      <w:tr>
        <w:tc>
          <w:tcPr>
            <w:tcW w:type="dxa" w:w="1984"/>
            <w:shd w:val="clear" w:color="auto" w:fill="FFFFFF"/>
          </w:tcPr>
          <w:p>
            <w:pPr>
              <w:spacing w:before="40" w:after="40"/>
            </w:pPr>
            <w:r>
              <w:rPr>
                <w:sz w:val="19"/>
              </w:rPr>
              <w:t>grafana</w:t>
            </w:r>
          </w:p>
        </w:tc>
        <w:tc>
          <w:tcPr>
            <w:tcW w:type="dxa" w:w="1984"/>
            <w:shd w:val="clear" w:color="auto" w:fill="FFFFFF"/>
          </w:tcPr>
          <w:p>
            <w:pPr>
              <w:spacing w:before="40" w:after="40"/>
            </w:pPr>
            <w:r>
              <w:rPr>
                <w:sz w:val="19"/>
              </w:rPr>
              <w:t>grafana/grafana:11.1</w:t>
            </w:r>
          </w:p>
        </w:tc>
        <w:tc>
          <w:tcPr>
            <w:tcW w:type="dxa" w:w="1134"/>
            <w:shd w:val="clear" w:color="auto" w:fill="FFFFFF"/>
          </w:tcPr>
          <w:p>
            <w:pPr>
              <w:spacing w:before="40" w:after="40"/>
            </w:pPr>
            <w:r>
              <w:rPr>
                <w:sz w:val="19"/>
              </w:rPr>
              <w:t>3000</w:t>
            </w:r>
          </w:p>
        </w:tc>
        <w:tc>
          <w:tcPr>
            <w:tcW w:type="dxa" w:w="3969"/>
            <w:shd w:val="clear" w:color="auto" w:fill="FFFFFF"/>
          </w:tcPr>
          <w:p>
            <w:pPr>
              <w:spacing w:before="40" w:after="40"/>
            </w:pPr>
            <w:r>
              <w:rPr>
                <w:sz w:val="19"/>
              </w:rPr>
              <w:t>Visualisation des métriques</w:t>
            </w:r>
          </w:p>
        </w:tc>
      </w:tr>
      <w:tr>
        <w:tc>
          <w:tcPr>
            <w:tcW w:type="dxa" w:w="1984"/>
            <w:shd w:val="clear" w:color="auto" w:fill="F2F2F2"/>
          </w:tcPr>
          <w:p>
            <w:pPr>
              <w:spacing w:before="40" w:after="40"/>
            </w:pPr>
            <w:r>
              <w:rPr>
                <w:sz w:val="19"/>
              </w:rPr>
              <w:t>ml-runner</w:t>
            </w:r>
          </w:p>
        </w:tc>
        <w:tc>
          <w:tcPr>
            <w:tcW w:type="dxa" w:w="1984"/>
            <w:shd w:val="clear" w:color="auto" w:fill="F2F2F2"/>
          </w:tcPr>
          <w:p>
            <w:pPr>
              <w:spacing w:before="40" w:after="40"/>
            </w:pPr>
            <w:r>
              <w:rPr>
                <w:sz w:val="19"/>
              </w:rPr>
              <w:t>Dockerfile.ml</w:t>
            </w:r>
          </w:p>
        </w:tc>
        <w:tc>
          <w:tcPr>
            <w:tcW w:type="dxa" w:w="1134"/>
            <w:shd w:val="clear" w:color="auto" w:fill="F2F2F2"/>
          </w:tcPr>
          <w:p>
            <w:pPr>
              <w:spacing w:before="40" w:after="40"/>
            </w:pPr>
            <w:r>
              <w:rPr>
                <w:sz w:val="19"/>
              </w:rPr>
              <w:t>—</w:t>
            </w:r>
          </w:p>
        </w:tc>
        <w:tc>
          <w:tcPr>
            <w:tcW w:type="dxa" w:w="3969"/>
            <w:shd w:val="clear" w:color="auto" w:fill="F2F2F2"/>
          </w:tcPr>
          <w:p>
            <w:pPr>
              <w:spacing w:before="40" w:after="40"/>
            </w:pPr>
            <w:r>
              <w:rPr>
                <w:sz w:val="19"/>
              </w:rPr>
              <w:t>Pipeline ML (one-shot, profil ml)</w:t>
            </w:r>
          </w:p>
        </w:tc>
      </w:tr>
    </w:tbl>
    <w:p/>
    <w:p>
      <w:pPr>
        <w:pStyle w:val="Heading2"/>
        <w:spacing w:before="240" w:after="100"/>
      </w:pPr>
      <w:r>
        <w:rPr>
          <w:color w:val="2F75B6"/>
          <w:sz w:val="26"/>
        </w:rPr>
        <w:t>2.3 Flux de données</w:t>
      </w:r>
    </w:p>
    <w:p>
      <w:pPr>
        <w:spacing w:after="120"/>
        <w:ind w:firstLine="0"/>
      </w:pPr>
      <w:r>
        <w:rPr>
          <w:sz w:val="21"/>
        </w:rPr>
        <w:t>Le flux de données suit un chemin linéaire depuis la source brute jusqu'à l'utilisateur final :</w:t>
      </w:r>
    </w:p>
    <w:p>
      <w:pPr>
        <w:pStyle w:val="ListBullet"/>
        <w:spacing w:after="40"/>
        <w:ind w:left="283"/>
      </w:pPr>
      <w:r>
        <w:rPr>
          <w:sz w:val="21"/>
        </w:rPr>
        <w:t>1. Ingestion : le fichier CSV FAO (pesticides.csv) est lu par Spark et converti en Parquet optimisé.</w:t>
      </w:r>
    </w:p>
    <w:p>
      <w:pPr>
        <w:pStyle w:val="ListBullet"/>
        <w:spacing w:after="40"/>
        <w:ind w:left="283"/>
      </w:pPr>
      <w:r>
        <w:rPr>
          <w:sz w:val="21"/>
        </w:rPr>
        <w:t>2. Transformation : Spark calcule les features dérivées (YoY growth, MA5, normalisation) et écrit dans PostgreSQL via JDBC.</w:t>
      </w:r>
    </w:p>
    <w:p>
      <w:pPr>
        <w:pStyle w:val="ListBullet"/>
        <w:spacing w:after="40"/>
        <w:ind w:left="283"/>
      </w:pPr>
      <w:r>
        <w:rPr>
          <w:sz w:val="21"/>
        </w:rPr>
        <w:t>3. Simulation IoT : simulate_data.py génère des données de capteurs synthétiques corrélées aux données réelles.</w:t>
      </w:r>
    </w:p>
    <w:p>
      <w:pPr>
        <w:pStyle w:val="ListBullet"/>
        <w:spacing w:after="40"/>
        <w:ind w:left="283"/>
      </w:pPr>
      <w:r>
        <w:rPr>
          <w:sz w:val="21"/>
        </w:rPr>
        <w:t>4. Entraînement : train_xgboost.py et train_prophet.py lisent PostgreSQL, entraînent les modèles et loguent les artefacts dans MLflow.</w:t>
      </w:r>
    </w:p>
    <w:p>
      <w:pPr>
        <w:pStyle w:val="ListBullet"/>
        <w:spacing w:after="40"/>
        <w:ind w:left="283"/>
      </w:pPr>
      <w:r>
        <w:rPr>
          <w:sz w:val="21"/>
        </w:rPr>
        <w:t>5. Exposition : l'API FastAPI charge le modèle depuis MLflow et sert les prédictions via REST.</w:t>
      </w:r>
    </w:p>
    <w:p>
      <w:pPr>
        <w:pStyle w:val="ListBullet"/>
        <w:spacing w:after="40"/>
        <w:ind w:left="283"/>
      </w:pPr>
      <w:r>
        <w:rPr>
          <w:sz w:val="21"/>
        </w:rPr>
        <w:t>6. Visualisation : le dashboard Streamlit interroge l'API et la base de données pour les graphiques interactifs.</w:t>
      </w:r>
    </w:p>
    <w:p>
      <w:pPr>
        <w:pStyle w:val="ListBullet"/>
        <w:spacing w:after="40"/>
        <w:ind w:left="283"/>
      </w:pPr>
      <w:r>
        <w:rPr>
          <w:sz w:val="21"/>
        </w:rPr>
        <w:t>7. Supervision : Prometheus collecte les métriques de l'API toutes les 15 secondes, Grafana les visualise.</w:t>
      </w:r>
    </w:p>
    <w:p>
      <w:pPr>
        <w:pStyle w:val="Heading2"/>
        <w:spacing w:before="240" w:after="100"/>
      </w:pPr>
      <w:r>
        <w:rPr>
          <w:color w:val="2F75B6"/>
          <w:sz w:val="26"/>
        </w:rPr>
        <w:t>2.4 Schéma de base de données</w:t>
      </w:r>
    </w:p>
    <w:p>
      <w:pPr>
        <w:spacing w:after="120"/>
        <w:ind w:firstLine="0"/>
      </w:pPr>
      <w:r>
        <w:rPr>
          <w:sz w:val="21"/>
        </w:rPr>
        <w:t>La base de données PostgreSQL du projet contient 5 tables métier principales, conçues pour stocker à la fois les données de référence et les résultats des modèles ML :</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val="clear" w:color="auto" w:fill="1F4E79"/>
            <w:vAlign w:val="center"/>
          </w:tcPr>
          <w:p>
            <w:pPr>
              <w:spacing w:before="60" w:after="60"/>
              <w:jc w:val="center"/>
            </w:pPr>
            <w:r>
              <w:rPr>
                <w:b/>
                <w:color w:val="FFFFFF"/>
                <w:sz w:val="20"/>
              </w:rPr>
              <w:t>Table</w:t>
            </w:r>
          </w:p>
        </w:tc>
        <w:tc>
          <w:tcPr>
            <w:tcW w:type="dxa" w:w="3402"/>
            <w:shd w:val="clear" w:color="auto" w:fill="1F4E79"/>
            <w:vAlign w:val="center"/>
          </w:tcPr>
          <w:p>
            <w:pPr>
              <w:spacing w:before="60" w:after="60"/>
              <w:jc w:val="center"/>
            </w:pPr>
            <w:r>
              <w:rPr>
                <w:b/>
                <w:color w:val="FFFFFF"/>
                <w:sz w:val="20"/>
              </w:rPr>
              <w:t>Colonnes clés</w:t>
            </w:r>
          </w:p>
        </w:tc>
        <w:tc>
          <w:tcPr>
            <w:tcW w:type="dxa" w:w="3685"/>
            <w:shd w:val="clear" w:color="auto" w:fill="1F4E79"/>
            <w:vAlign w:val="center"/>
          </w:tcPr>
          <w:p>
            <w:pPr>
              <w:spacing w:before="60" w:after="60"/>
              <w:jc w:val="center"/>
            </w:pPr>
            <w:r>
              <w:rPr>
                <w:b/>
                <w:color w:val="FFFFFF"/>
                <w:sz w:val="20"/>
              </w:rPr>
              <w:t>Contenu</w:t>
            </w:r>
          </w:p>
        </w:tc>
      </w:tr>
      <w:tr>
        <w:tc>
          <w:tcPr>
            <w:tcW w:type="dxa" w:w="1701"/>
            <w:shd w:val="clear" w:color="auto" w:fill="F2F2F2"/>
          </w:tcPr>
          <w:p>
            <w:pPr>
              <w:spacing w:before="40" w:after="40"/>
            </w:pPr>
            <w:r>
              <w:rPr>
                <w:sz w:val="19"/>
              </w:rPr>
              <w:t>parcels</w:t>
            </w:r>
          </w:p>
        </w:tc>
        <w:tc>
          <w:tcPr>
            <w:tcW w:type="dxa" w:w="3402"/>
            <w:shd w:val="clear" w:color="auto" w:fill="F2F2F2"/>
          </w:tcPr>
          <w:p>
            <w:pPr>
              <w:spacing w:before="40" w:after="40"/>
            </w:pPr>
            <w:r>
              <w:rPr>
                <w:sz w:val="19"/>
              </w:rPr>
              <w:t>id, name, crop_type, area_ha, latitude, longitude, soil_type, country</w:t>
            </w:r>
          </w:p>
        </w:tc>
        <w:tc>
          <w:tcPr>
            <w:tcW w:type="dxa" w:w="3685"/>
            <w:shd w:val="clear" w:color="auto" w:fill="F2F2F2"/>
          </w:tcPr>
          <w:p>
            <w:pPr>
              <w:spacing w:before="40" w:after="40"/>
            </w:pPr>
            <w:r>
              <w:rPr>
                <w:sz w:val="19"/>
              </w:rPr>
              <w:t>60 parcelles agricoles — 20 pays, 5 cultures</w:t>
            </w:r>
          </w:p>
        </w:tc>
      </w:tr>
      <w:tr>
        <w:tc>
          <w:tcPr>
            <w:tcW w:type="dxa" w:w="1701"/>
            <w:shd w:val="clear" w:color="auto" w:fill="FFFFFF"/>
          </w:tcPr>
          <w:p>
            <w:pPr>
              <w:spacing w:before="40" w:after="40"/>
            </w:pPr>
            <w:r>
              <w:rPr>
                <w:sz w:val="19"/>
              </w:rPr>
              <w:t>sensor_readings</w:t>
            </w:r>
          </w:p>
        </w:tc>
        <w:tc>
          <w:tcPr>
            <w:tcW w:type="dxa" w:w="3402"/>
            <w:shd w:val="clear" w:color="auto" w:fill="FFFFFF"/>
          </w:tcPr>
          <w:p>
            <w:pPr>
              <w:spacing w:before="40" w:after="40"/>
            </w:pPr>
            <w:r>
              <w:rPr>
                <w:sz w:val="19"/>
              </w:rPr>
              <w:t>parcel_id, recorded_at, soil_moisture, soil_temp_c, soil_ph, nitrogen_ppm, air_temp_c, humidity_pct, rainfall_mm, solar_rad_wm2</w:t>
            </w:r>
          </w:p>
        </w:tc>
        <w:tc>
          <w:tcPr>
            <w:tcW w:type="dxa" w:w="3685"/>
            <w:shd w:val="clear" w:color="auto" w:fill="FFFFFF"/>
          </w:tcPr>
          <w:p>
            <w:pPr>
              <w:spacing w:before="40" w:after="40"/>
            </w:pPr>
            <w:r>
              <w:rPr>
                <w:sz w:val="19"/>
              </w:rPr>
              <w:t>420 relevés IoT annuels (2010–2016)</w:t>
            </w:r>
          </w:p>
        </w:tc>
      </w:tr>
      <w:tr>
        <w:tc>
          <w:tcPr>
            <w:tcW w:type="dxa" w:w="1701"/>
            <w:shd w:val="clear" w:color="auto" w:fill="F2F2F2"/>
          </w:tcPr>
          <w:p>
            <w:pPr>
              <w:spacing w:before="40" w:after="40"/>
            </w:pPr>
            <w:r>
              <w:rPr>
                <w:sz w:val="19"/>
              </w:rPr>
              <w:t>yield_records</w:t>
            </w:r>
          </w:p>
        </w:tc>
        <w:tc>
          <w:tcPr>
            <w:tcW w:type="dxa" w:w="3402"/>
            <w:shd w:val="clear" w:color="auto" w:fill="F2F2F2"/>
          </w:tcPr>
          <w:p>
            <w:pPr>
              <w:spacing w:before="40" w:after="40"/>
            </w:pPr>
            <w:r>
              <w:rPr>
                <w:sz w:val="19"/>
              </w:rPr>
              <w:t>parcel_id, harvest_year, yield_t_per_ha</w:t>
            </w:r>
          </w:p>
        </w:tc>
        <w:tc>
          <w:tcPr>
            <w:tcW w:type="dxa" w:w="3685"/>
            <w:shd w:val="clear" w:color="auto" w:fill="F2F2F2"/>
          </w:tcPr>
          <w:p>
            <w:pPr>
              <w:spacing w:before="40" w:after="40"/>
            </w:pPr>
            <w:r>
              <w:rPr>
                <w:sz w:val="19"/>
              </w:rPr>
              <w:t>420 rendements observés (t/ha) — variable cible</w:t>
            </w:r>
          </w:p>
        </w:tc>
      </w:tr>
      <w:tr>
        <w:tc>
          <w:tcPr>
            <w:tcW w:type="dxa" w:w="1701"/>
            <w:shd w:val="clear" w:color="auto" w:fill="FFFFFF"/>
          </w:tcPr>
          <w:p>
            <w:pPr>
              <w:spacing w:before="40" w:after="40"/>
            </w:pPr>
            <w:r>
              <w:rPr>
                <w:sz w:val="19"/>
              </w:rPr>
              <w:t>pesticide_use</w:t>
            </w:r>
          </w:p>
        </w:tc>
        <w:tc>
          <w:tcPr>
            <w:tcW w:type="dxa" w:w="3402"/>
            <w:shd w:val="clear" w:color="auto" w:fill="FFFFFF"/>
          </w:tcPr>
          <w:p>
            <w:pPr>
              <w:spacing w:before="40" w:after="40"/>
            </w:pPr>
            <w:r>
              <w:rPr>
                <w:sz w:val="19"/>
              </w:rPr>
              <w:t>area, year, value_tonnes, yoy_growth_pct, ma5_tonnes, value_normalized, cagr_5y_pct, pct_vs_global_avg</w:t>
            </w:r>
          </w:p>
        </w:tc>
        <w:tc>
          <w:tcPr>
            <w:tcW w:type="dxa" w:w="3685"/>
            <w:shd w:val="clear" w:color="auto" w:fill="FFFFFF"/>
          </w:tcPr>
          <w:p>
            <w:pPr>
              <w:spacing w:before="40" w:after="40"/>
            </w:pPr>
            <w:r>
              <w:rPr>
                <w:sz w:val="19"/>
              </w:rPr>
              <w:t>4 349 entrées FAO enrichies (features engineerées par Spark)</w:t>
            </w:r>
          </w:p>
        </w:tc>
      </w:tr>
      <w:tr>
        <w:tc>
          <w:tcPr>
            <w:tcW w:type="dxa" w:w="1701"/>
            <w:shd w:val="clear" w:color="auto" w:fill="F2F2F2"/>
          </w:tcPr>
          <w:p>
            <w:pPr>
              <w:spacing w:before="40" w:after="40"/>
            </w:pPr>
            <w:r>
              <w:rPr>
                <w:sz w:val="19"/>
              </w:rPr>
              <w:t>ml_predictions</w:t>
            </w:r>
          </w:p>
        </w:tc>
        <w:tc>
          <w:tcPr>
            <w:tcW w:type="dxa" w:w="3402"/>
            <w:shd w:val="clear" w:color="auto" w:fill="F2F2F2"/>
          </w:tcPr>
          <w:p>
            <w:pPr>
              <w:spacing w:before="40" w:after="40"/>
            </w:pPr>
            <w:r>
              <w:rPr>
                <w:sz w:val="19"/>
              </w:rPr>
              <w:t>parcel_id, model_name, model_version, predicted_yield, irrigation_rec_mm, confidence, predicted_at</w:t>
            </w:r>
          </w:p>
        </w:tc>
        <w:tc>
          <w:tcPr>
            <w:tcW w:type="dxa" w:w="3685"/>
            <w:shd w:val="clear" w:color="auto" w:fill="F2F2F2"/>
          </w:tcPr>
          <w:p>
            <w:pPr>
              <w:spacing w:before="40" w:after="40"/>
            </w:pPr>
            <w:r>
              <w:rPr>
                <w:sz w:val="19"/>
              </w:rPr>
              <w:t>Historique des prédictions servies par l'API</w:t>
            </w:r>
          </w:p>
        </w:tc>
      </w:tr>
    </w:tbl>
    <w:p/>
    <w:p>
      <w:r>
        <w:br w:type="page"/>
      </w:r>
    </w:p>
    <w:p>
      <w:pPr>
        <w:pStyle w:val="Heading1"/>
        <w:spacing w:before="360" w:after="160"/>
      </w:pPr>
      <w:r>
        <w:rPr>
          <w:color w:val="2E74B5"/>
          <w:sz w:val="32"/>
        </w:rPr>
        <w:t>3. Sources et description des données</w:t>
      </w:r>
    </w:p>
    <w:p>
      <w:pPr>
        <w:pStyle w:val="Heading2"/>
        <w:spacing w:before="240" w:after="100"/>
      </w:pPr>
      <w:r>
        <w:rPr>
          <w:color w:val="2F75B6"/>
          <w:sz w:val="26"/>
        </w:rPr>
        <w:t>3.1 Données FAO — Utilisation des pesticides</w:t>
      </w:r>
    </w:p>
    <w:p>
      <w:pPr>
        <w:spacing w:after="120"/>
        <w:ind w:firstLine="0"/>
      </w:pPr>
      <w:r>
        <w:rPr>
          <w:sz w:val="21"/>
        </w:rPr>
        <w:t>La source de données principale est le fichier officiel de la FAO (Organisation des Nations Unies pour l'Alimentation et l'Agriculture) relatif à l'utilisation mondiale des pesticides. Ce dataset est publiquement disponible sur FAOSTAT (fao.org/faostat).</w:t>
      </w:r>
    </w:p>
    <w:tbl>
      <w:tblPr>
        <w:tblStyle w:val="TableGrid"/>
        <w:tblW w:type="auto" w:w="0"/>
        <w:jc w:val="center"/>
        <w:tblLook w:firstColumn="1" w:firstRow="1" w:lastColumn="0" w:lastRow="0" w:noHBand="0" w:noVBand="1" w:val="04A0"/>
      </w:tblPr>
      <w:tblGrid>
        <w:gridCol w:w="4561"/>
        <w:gridCol w:w="4561"/>
      </w:tblGrid>
      <w:tr>
        <w:tc>
          <w:tcPr>
            <w:tcW w:type="dxa" w:w="3402"/>
            <w:shd w:val="clear" w:color="auto" w:fill="1F4E79"/>
            <w:vAlign w:val="center"/>
          </w:tcPr>
          <w:p>
            <w:pPr>
              <w:spacing w:before="60" w:after="60"/>
              <w:jc w:val="center"/>
            </w:pPr>
            <w:r>
              <w:rPr>
                <w:b/>
                <w:color w:val="FFFFFF"/>
                <w:sz w:val="20"/>
              </w:rPr>
              <w:t>Caractéristique</w:t>
            </w:r>
          </w:p>
        </w:tc>
        <w:tc>
          <w:tcPr>
            <w:tcW w:type="dxa" w:w="5386"/>
            <w:shd w:val="clear" w:color="auto" w:fill="1F4E79"/>
            <w:vAlign w:val="center"/>
          </w:tcPr>
          <w:p>
            <w:pPr>
              <w:spacing w:before="60" w:after="60"/>
              <w:jc w:val="center"/>
            </w:pPr>
            <w:r>
              <w:rPr>
                <w:b/>
                <w:color w:val="FFFFFF"/>
                <w:sz w:val="20"/>
              </w:rPr>
              <w:t>Valeur</w:t>
            </w:r>
          </w:p>
        </w:tc>
      </w:tr>
      <w:tr>
        <w:tc>
          <w:tcPr>
            <w:tcW w:type="dxa" w:w="3402"/>
            <w:shd w:val="clear" w:color="auto" w:fill="F2F2F2"/>
          </w:tcPr>
          <w:p>
            <w:pPr>
              <w:spacing w:before="40" w:after="40"/>
            </w:pPr>
            <w:r>
              <w:rPr>
                <w:sz w:val="19"/>
              </w:rPr>
              <w:t>Nom du fichier</w:t>
            </w:r>
          </w:p>
        </w:tc>
        <w:tc>
          <w:tcPr>
            <w:tcW w:type="dxa" w:w="5386"/>
            <w:shd w:val="clear" w:color="auto" w:fill="F2F2F2"/>
          </w:tcPr>
          <w:p>
            <w:pPr>
              <w:spacing w:before="40" w:after="40"/>
            </w:pPr>
            <w:r>
              <w:rPr>
                <w:sz w:val="19"/>
              </w:rPr>
              <w:t>pesticides.csv</w:t>
            </w:r>
          </w:p>
        </w:tc>
      </w:tr>
      <w:tr>
        <w:tc>
          <w:tcPr>
            <w:tcW w:type="dxa" w:w="3402"/>
            <w:shd w:val="clear" w:color="auto" w:fill="FFFFFF"/>
          </w:tcPr>
          <w:p>
            <w:pPr>
              <w:spacing w:before="40" w:after="40"/>
            </w:pPr>
            <w:r>
              <w:rPr>
                <w:sz w:val="19"/>
              </w:rPr>
              <w:t>Source</w:t>
            </w:r>
          </w:p>
        </w:tc>
        <w:tc>
          <w:tcPr>
            <w:tcW w:type="dxa" w:w="5386"/>
            <w:shd w:val="clear" w:color="auto" w:fill="FFFFFF"/>
          </w:tcPr>
          <w:p>
            <w:pPr>
              <w:spacing w:before="40" w:after="40"/>
            </w:pPr>
            <w:r>
              <w:rPr>
                <w:sz w:val="19"/>
              </w:rPr>
              <w:t>FAOSTAT — FAO Division des statistiques</w:t>
            </w:r>
          </w:p>
        </w:tc>
      </w:tr>
      <w:tr>
        <w:tc>
          <w:tcPr>
            <w:tcW w:type="dxa" w:w="3402"/>
            <w:shd w:val="clear" w:color="auto" w:fill="F2F2F2"/>
          </w:tcPr>
          <w:p>
            <w:pPr>
              <w:spacing w:before="40" w:after="40"/>
            </w:pPr>
            <w:r>
              <w:rPr>
                <w:sz w:val="19"/>
              </w:rPr>
              <w:t>Nombre d'enregistrements</w:t>
            </w:r>
          </w:p>
        </w:tc>
        <w:tc>
          <w:tcPr>
            <w:tcW w:type="dxa" w:w="5386"/>
            <w:shd w:val="clear" w:color="auto" w:fill="F2F2F2"/>
          </w:tcPr>
          <w:p>
            <w:pPr>
              <w:spacing w:before="40" w:after="40"/>
            </w:pPr>
            <w:r>
              <w:rPr>
                <w:sz w:val="19"/>
              </w:rPr>
              <w:t>4 349 lignes</w:t>
            </w:r>
          </w:p>
        </w:tc>
      </w:tr>
      <w:tr>
        <w:tc>
          <w:tcPr>
            <w:tcW w:type="dxa" w:w="3402"/>
            <w:shd w:val="clear" w:color="auto" w:fill="FFFFFF"/>
          </w:tcPr>
          <w:p>
            <w:pPr>
              <w:spacing w:before="40" w:after="40"/>
            </w:pPr>
            <w:r>
              <w:rPr>
                <w:sz w:val="19"/>
              </w:rPr>
              <w:t>Couverture géographique</w:t>
            </w:r>
          </w:p>
        </w:tc>
        <w:tc>
          <w:tcPr>
            <w:tcW w:type="dxa" w:w="5386"/>
            <w:shd w:val="clear" w:color="auto" w:fill="FFFFFF"/>
          </w:tcPr>
          <w:p>
            <w:pPr>
              <w:spacing w:before="40" w:after="40"/>
            </w:pPr>
            <w:r>
              <w:rPr>
                <w:sz w:val="19"/>
              </w:rPr>
              <w:t>168 pays</w:t>
            </w:r>
          </w:p>
        </w:tc>
      </w:tr>
      <w:tr>
        <w:tc>
          <w:tcPr>
            <w:tcW w:type="dxa" w:w="3402"/>
            <w:shd w:val="clear" w:color="auto" w:fill="F2F2F2"/>
          </w:tcPr>
          <w:p>
            <w:pPr>
              <w:spacing w:before="40" w:after="40"/>
            </w:pPr>
            <w:r>
              <w:rPr>
                <w:sz w:val="19"/>
              </w:rPr>
              <w:t>Période temporelle</w:t>
            </w:r>
          </w:p>
        </w:tc>
        <w:tc>
          <w:tcPr>
            <w:tcW w:type="dxa" w:w="5386"/>
            <w:shd w:val="clear" w:color="auto" w:fill="F2F2F2"/>
          </w:tcPr>
          <w:p>
            <w:pPr>
              <w:spacing w:before="40" w:after="40"/>
            </w:pPr>
            <w:r>
              <w:rPr>
                <w:sz w:val="19"/>
              </w:rPr>
              <w:t>1990–2016 (27 ans)</w:t>
            </w:r>
          </w:p>
        </w:tc>
      </w:tr>
      <w:tr>
        <w:tc>
          <w:tcPr>
            <w:tcW w:type="dxa" w:w="3402"/>
            <w:shd w:val="clear" w:color="auto" w:fill="FFFFFF"/>
          </w:tcPr>
          <w:p>
            <w:pPr>
              <w:spacing w:before="40" w:after="40"/>
            </w:pPr>
            <w:r>
              <w:rPr>
                <w:sz w:val="19"/>
              </w:rPr>
              <w:t>Unité de mesure</w:t>
            </w:r>
          </w:p>
        </w:tc>
        <w:tc>
          <w:tcPr>
            <w:tcW w:type="dxa" w:w="5386"/>
            <w:shd w:val="clear" w:color="auto" w:fill="FFFFFF"/>
          </w:tcPr>
          <w:p>
            <w:pPr>
              <w:spacing w:before="40" w:after="40"/>
            </w:pPr>
            <w:r>
              <w:rPr>
                <w:sz w:val="19"/>
              </w:rPr>
              <w:t>Tonnes de matières actives (t.m.a.)</w:t>
            </w:r>
          </w:p>
        </w:tc>
      </w:tr>
      <w:tr>
        <w:tc>
          <w:tcPr>
            <w:tcW w:type="dxa" w:w="3402"/>
            <w:shd w:val="clear" w:color="auto" w:fill="F2F2F2"/>
          </w:tcPr>
          <w:p>
            <w:pPr>
              <w:spacing w:before="40" w:after="40"/>
            </w:pPr>
            <w:r>
              <w:rPr>
                <w:sz w:val="19"/>
              </w:rPr>
              <w:t>Variable mesurée</w:t>
            </w:r>
          </w:p>
        </w:tc>
        <w:tc>
          <w:tcPr>
            <w:tcW w:type="dxa" w:w="5386"/>
            <w:shd w:val="clear" w:color="auto" w:fill="F2F2F2"/>
          </w:tcPr>
          <w:p>
            <w:pPr>
              <w:spacing w:before="40" w:after="40"/>
            </w:pPr>
            <w:r>
              <w:rPr>
                <w:sz w:val="19"/>
              </w:rPr>
              <w:t>Pesticides (total) — insecticides, herbicides, fongicides confondus</w:t>
            </w:r>
          </w:p>
        </w:tc>
      </w:tr>
      <w:tr>
        <w:tc>
          <w:tcPr>
            <w:tcW w:type="dxa" w:w="3402"/>
            <w:shd w:val="clear" w:color="auto" w:fill="FFFFFF"/>
          </w:tcPr>
          <w:p>
            <w:pPr>
              <w:spacing w:before="40" w:after="40"/>
            </w:pPr>
            <w:r>
              <w:rPr>
                <w:sz w:val="19"/>
              </w:rPr>
              <w:t>Format</w:t>
            </w:r>
          </w:p>
        </w:tc>
        <w:tc>
          <w:tcPr>
            <w:tcW w:type="dxa" w:w="5386"/>
            <w:shd w:val="clear" w:color="auto" w:fill="FFFFFF"/>
          </w:tcPr>
          <w:p>
            <w:pPr>
              <w:spacing w:before="40" w:after="40"/>
            </w:pPr>
            <w:r>
              <w:rPr>
                <w:sz w:val="19"/>
              </w:rPr>
              <w:t>CSV — 7 colonnes : Domain, Area, Element, Item, Year, Unit, Value</w:t>
            </w:r>
          </w:p>
        </w:tc>
      </w:tr>
    </w:tbl>
    <w:p/>
    <w:p>
      <w:pPr>
        <w:pStyle w:val="Heading2"/>
        <w:spacing w:before="240" w:after="100"/>
      </w:pPr>
      <w:r>
        <w:rPr>
          <w:color w:val="2F75B6"/>
          <w:sz w:val="26"/>
        </w:rPr>
        <w:t>3.2 Feature engineering des données pesticides (Apache Spark)</w:t>
      </w:r>
    </w:p>
    <w:p>
      <w:pPr>
        <w:spacing w:after="120"/>
        <w:ind w:firstLine="0"/>
      </w:pPr>
      <w:r>
        <w:rPr>
          <w:sz w:val="21"/>
        </w:rPr>
        <w:t>Les données brutes FAO sont enrichies par un pipeline Spark qui calcule les indicateurs dérivés suivants pour chaque couple (pays, année) :</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1F4E79"/>
            <w:vAlign w:val="center"/>
          </w:tcPr>
          <w:p>
            <w:pPr>
              <w:spacing w:before="60" w:after="60"/>
              <w:jc w:val="center"/>
            </w:pPr>
            <w:r>
              <w:rPr>
                <w:b/>
                <w:color w:val="FFFFFF"/>
                <w:sz w:val="20"/>
              </w:rPr>
              <w:t>Feature calculée</w:t>
            </w:r>
          </w:p>
        </w:tc>
        <w:tc>
          <w:tcPr>
            <w:tcW w:type="dxa" w:w="3118"/>
            <w:shd w:val="clear" w:color="auto" w:fill="1F4E79"/>
            <w:vAlign w:val="center"/>
          </w:tcPr>
          <w:p>
            <w:pPr>
              <w:spacing w:before="60" w:after="60"/>
              <w:jc w:val="center"/>
            </w:pPr>
            <w:r>
              <w:rPr>
                <w:b/>
                <w:color w:val="FFFFFF"/>
                <w:sz w:val="20"/>
              </w:rPr>
              <w:t>Formule / Méthode</w:t>
            </w:r>
          </w:p>
        </w:tc>
        <w:tc>
          <w:tcPr>
            <w:tcW w:type="dxa" w:w="3685"/>
            <w:shd w:val="clear" w:color="auto" w:fill="1F4E79"/>
            <w:vAlign w:val="center"/>
          </w:tcPr>
          <w:p>
            <w:pPr>
              <w:spacing w:before="60" w:after="60"/>
              <w:jc w:val="center"/>
            </w:pPr>
            <w:r>
              <w:rPr>
                <w:b/>
                <w:color w:val="FFFFFF"/>
                <w:sz w:val="20"/>
              </w:rPr>
              <w:t>Intérêt agronomique</w:t>
            </w:r>
          </w:p>
        </w:tc>
      </w:tr>
      <w:tr>
        <w:tc>
          <w:tcPr>
            <w:tcW w:type="dxa" w:w="1984"/>
            <w:shd w:val="clear" w:color="auto" w:fill="F2F2F2"/>
          </w:tcPr>
          <w:p>
            <w:pPr>
              <w:spacing w:before="40" w:after="40"/>
            </w:pPr>
            <w:r>
              <w:rPr>
                <w:sz w:val="19"/>
              </w:rPr>
              <w:t>yoy_growth_pct</w:t>
            </w:r>
          </w:p>
        </w:tc>
        <w:tc>
          <w:tcPr>
            <w:tcW w:type="dxa" w:w="3118"/>
            <w:shd w:val="clear" w:color="auto" w:fill="F2F2F2"/>
          </w:tcPr>
          <w:p>
            <w:pPr>
              <w:spacing w:before="40" w:after="40"/>
            </w:pPr>
            <w:r>
              <w:rPr>
                <w:sz w:val="19"/>
              </w:rPr>
              <w:t>((valeur_n - valeur_n-1) / valeur_n-1) × 100</w:t>
            </w:r>
          </w:p>
        </w:tc>
        <w:tc>
          <w:tcPr>
            <w:tcW w:type="dxa" w:w="3685"/>
            <w:shd w:val="clear" w:color="auto" w:fill="F2F2F2"/>
          </w:tcPr>
          <w:p>
            <w:pPr>
              <w:spacing w:before="40" w:after="40"/>
            </w:pPr>
            <w:r>
              <w:rPr>
                <w:sz w:val="19"/>
              </w:rPr>
              <w:t>Détecte les hausses/baisses brutales d'intrants</w:t>
            </w:r>
          </w:p>
        </w:tc>
      </w:tr>
      <w:tr>
        <w:tc>
          <w:tcPr>
            <w:tcW w:type="dxa" w:w="1984"/>
            <w:shd w:val="clear" w:color="auto" w:fill="FFFFFF"/>
          </w:tcPr>
          <w:p>
            <w:pPr>
              <w:spacing w:before="40" w:after="40"/>
            </w:pPr>
            <w:r>
              <w:rPr>
                <w:sz w:val="19"/>
              </w:rPr>
              <w:t>ma5_tonnes</w:t>
            </w:r>
          </w:p>
        </w:tc>
        <w:tc>
          <w:tcPr>
            <w:tcW w:type="dxa" w:w="3118"/>
            <w:shd w:val="clear" w:color="auto" w:fill="FFFFFF"/>
          </w:tcPr>
          <w:p>
            <w:pPr>
              <w:spacing w:before="40" w:after="40"/>
            </w:pPr>
            <w:r>
              <w:rPr>
                <w:sz w:val="19"/>
              </w:rPr>
              <w:t>Moyenne glissante sur 5 ans</w:t>
            </w:r>
          </w:p>
        </w:tc>
        <w:tc>
          <w:tcPr>
            <w:tcW w:type="dxa" w:w="3685"/>
            <w:shd w:val="clear" w:color="auto" w:fill="FFFFFF"/>
          </w:tcPr>
          <w:p>
            <w:pPr>
              <w:spacing w:before="40" w:after="40"/>
            </w:pPr>
            <w:r>
              <w:rPr>
                <w:sz w:val="19"/>
              </w:rPr>
              <w:t>Lisse la saisonnalité — tendance structurelle</w:t>
            </w:r>
          </w:p>
        </w:tc>
      </w:tr>
      <w:tr>
        <w:tc>
          <w:tcPr>
            <w:tcW w:type="dxa" w:w="1984"/>
            <w:shd w:val="clear" w:color="auto" w:fill="F2F2F2"/>
          </w:tcPr>
          <w:p>
            <w:pPr>
              <w:spacing w:before="40" w:after="40"/>
            </w:pPr>
            <w:r>
              <w:rPr>
                <w:sz w:val="19"/>
              </w:rPr>
              <w:t>cagr_5y_pct</w:t>
            </w:r>
          </w:p>
        </w:tc>
        <w:tc>
          <w:tcPr>
            <w:tcW w:type="dxa" w:w="3118"/>
            <w:shd w:val="clear" w:color="auto" w:fill="F2F2F2"/>
          </w:tcPr>
          <w:p>
            <w:pPr>
              <w:spacing w:before="40" w:after="40"/>
            </w:pPr>
            <w:r>
              <w:rPr>
                <w:sz w:val="19"/>
              </w:rPr>
              <w:t>Taux de croissance annuel composé 5 ans</w:t>
            </w:r>
          </w:p>
        </w:tc>
        <w:tc>
          <w:tcPr>
            <w:tcW w:type="dxa" w:w="3685"/>
            <w:shd w:val="clear" w:color="auto" w:fill="F2F2F2"/>
          </w:tcPr>
          <w:p>
            <w:pPr>
              <w:spacing w:before="40" w:after="40"/>
            </w:pPr>
            <w:r>
              <w:rPr>
                <w:sz w:val="19"/>
              </w:rPr>
              <w:t>Mesure la dynamique d'intensification</w:t>
            </w:r>
          </w:p>
        </w:tc>
      </w:tr>
      <w:tr>
        <w:tc>
          <w:tcPr>
            <w:tcW w:type="dxa" w:w="1984"/>
            <w:shd w:val="clear" w:color="auto" w:fill="FFFFFF"/>
          </w:tcPr>
          <w:p>
            <w:pPr>
              <w:spacing w:before="40" w:after="40"/>
            </w:pPr>
            <w:r>
              <w:rPr>
                <w:sz w:val="19"/>
              </w:rPr>
              <w:t>value_normalized</w:t>
            </w:r>
          </w:p>
        </w:tc>
        <w:tc>
          <w:tcPr>
            <w:tcW w:type="dxa" w:w="3118"/>
            <w:shd w:val="clear" w:color="auto" w:fill="FFFFFF"/>
          </w:tcPr>
          <w:p>
            <w:pPr>
              <w:spacing w:before="40" w:after="40"/>
            </w:pPr>
            <w:r>
              <w:rPr>
                <w:sz w:val="19"/>
              </w:rPr>
              <w:t>Min-Max sur l'ensemble des pays pour l'année N</w:t>
            </w:r>
          </w:p>
        </w:tc>
        <w:tc>
          <w:tcPr>
            <w:tcW w:type="dxa" w:w="3685"/>
            <w:shd w:val="clear" w:color="auto" w:fill="FFFFFF"/>
          </w:tcPr>
          <w:p>
            <w:pPr>
              <w:spacing w:before="40" w:after="40"/>
            </w:pPr>
            <w:r>
              <w:rPr>
                <w:sz w:val="19"/>
              </w:rPr>
              <w:t>Comparaison relative internationale</w:t>
            </w:r>
          </w:p>
        </w:tc>
      </w:tr>
      <w:tr>
        <w:tc>
          <w:tcPr>
            <w:tcW w:type="dxa" w:w="1984"/>
            <w:shd w:val="clear" w:color="auto" w:fill="F2F2F2"/>
          </w:tcPr>
          <w:p>
            <w:pPr>
              <w:spacing w:before="40" w:after="40"/>
            </w:pPr>
            <w:r>
              <w:rPr>
                <w:sz w:val="19"/>
              </w:rPr>
              <w:t>pct_vs_global_avg</w:t>
            </w:r>
          </w:p>
        </w:tc>
        <w:tc>
          <w:tcPr>
            <w:tcW w:type="dxa" w:w="3118"/>
            <w:shd w:val="clear" w:color="auto" w:fill="F2F2F2"/>
          </w:tcPr>
          <w:p>
            <w:pPr>
              <w:spacing w:before="40" w:after="40"/>
            </w:pPr>
            <w:r>
              <w:rPr>
                <w:sz w:val="19"/>
              </w:rPr>
              <w:t>(valeur_pays / moy_mondiale) × 100</w:t>
            </w:r>
          </w:p>
        </w:tc>
        <w:tc>
          <w:tcPr>
            <w:tcW w:type="dxa" w:w="3685"/>
            <w:shd w:val="clear" w:color="auto" w:fill="F2F2F2"/>
          </w:tcPr>
          <w:p>
            <w:pPr>
              <w:spacing w:before="40" w:after="40"/>
            </w:pPr>
            <w:r>
              <w:rPr>
                <w:sz w:val="19"/>
              </w:rPr>
              <w:t>Positionnement par rapport à la norme mondiale</w:t>
            </w:r>
          </w:p>
        </w:tc>
      </w:tr>
    </w:tbl>
    <w:p/>
    <w:p>
      <w:pPr>
        <w:pStyle w:val="Heading2"/>
        <w:spacing w:before="240" w:after="100"/>
      </w:pPr>
      <w:r>
        <w:rPr>
          <w:color w:val="2F75B6"/>
          <w:sz w:val="26"/>
        </w:rPr>
        <w:t>3.3 Données IoT simulées — Capteurs agricoles</w:t>
      </w:r>
    </w:p>
    <w:p>
      <w:pPr>
        <w:spacing w:after="120"/>
        <w:ind w:firstLine="0"/>
      </w:pPr>
      <w:r>
        <w:rPr>
          <w:sz w:val="21"/>
        </w:rPr>
        <w:t>En l'absence de données capteurs réelles publiquement disponibles à l'échelle requise, un générateur de données synthétiques a été développé (simulate_data.py). Les données simulées sont construites pour être statistiquement réalistes et corrélées aux profils climatiques réels de chaque pays, garantissant la cohérence agronomique du dataset d'entraînement.</w:t>
      </w:r>
    </w:p>
    <w:p>
      <w:pPr>
        <w:pStyle w:val="Heading3"/>
        <w:spacing w:before="160" w:after="80"/>
      </w:pPr>
      <w:r>
        <w:rPr>
          <w:b/>
          <w:sz w:val="22"/>
        </w:rPr>
        <w:t>Structure des 60 parcelles agricoles</w:t>
      </w:r>
    </w:p>
    <w:p>
      <w:pPr>
        <w:spacing w:after="120"/>
        <w:ind w:firstLine="0"/>
      </w:pPr>
      <w:r>
        <w:rPr>
          <w:sz w:val="21"/>
        </w:rPr>
        <w:t>Chaque pays dispose de 3 parcelles, chacune affectée aléatoirement à l'une des 5 cultures modélisées. Les coordonnées géographiques sont générées autour des centroïdes nationaux avec un bruit gaussien (±2°) pour simuler des emplacements réalistes.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984"/>
            <w:shd w:val="clear" w:color="auto" w:fill="1F4E79"/>
            <w:vAlign w:val="center"/>
          </w:tcPr>
          <w:p>
            <w:pPr>
              <w:spacing w:before="60" w:after="60"/>
              <w:jc w:val="center"/>
            </w:pPr>
            <w:r>
              <w:rPr>
                <w:b/>
                <w:color w:val="FFFFFF"/>
                <w:sz w:val="20"/>
              </w:rPr>
              <w:t>Culture</w:t>
            </w:r>
          </w:p>
        </w:tc>
        <w:tc>
          <w:tcPr>
            <w:tcW w:type="dxa" w:w="1417"/>
            <w:shd w:val="clear" w:color="auto" w:fill="1F4E79"/>
            <w:vAlign w:val="center"/>
          </w:tcPr>
          <w:p>
            <w:pPr>
              <w:spacing w:before="60" w:after="60"/>
              <w:jc w:val="center"/>
            </w:pPr>
            <w:r>
              <w:rPr>
                <w:b/>
                <w:color w:val="FFFFFF"/>
                <w:sz w:val="20"/>
              </w:rPr>
              <w:t>Rendement de base</w:t>
            </w:r>
          </w:p>
        </w:tc>
        <w:tc>
          <w:tcPr>
            <w:tcW w:type="dxa" w:w="1417"/>
            <w:shd w:val="clear" w:color="auto" w:fill="1F4E79"/>
            <w:vAlign w:val="center"/>
          </w:tcPr>
          <w:p>
            <w:pPr>
              <w:spacing w:before="60" w:after="60"/>
              <w:jc w:val="center"/>
            </w:pPr>
            <w:r>
              <w:rPr>
                <w:b/>
                <w:color w:val="FFFFFF"/>
                <w:sz w:val="20"/>
              </w:rPr>
              <w:t>Temp. optimale</w:t>
            </w:r>
          </w:p>
        </w:tc>
        <w:tc>
          <w:tcPr>
            <w:tcW w:type="dxa" w:w="1417"/>
            <w:shd w:val="clear" w:color="auto" w:fill="1F4E79"/>
            <w:vAlign w:val="center"/>
          </w:tcPr>
          <w:p>
            <w:pPr>
              <w:spacing w:before="60" w:after="60"/>
              <w:jc w:val="center"/>
            </w:pPr>
            <w:r>
              <w:rPr>
                <w:b/>
                <w:color w:val="FFFFFF"/>
                <w:sz w:val="20"/>
              </w:rPr>
              <w:t>Pluie optimale</w:t>
            </w:r>
          </w:p>
        </w:tc>
        <w:tc>
          <w:tcPr>
            <w:tcW w:type="dxa" w:w="2551"/>
            <w:shd w:val="clear" w:color="auto" w:fill="1F4E79"/>
            <w:vAlign w:val="center"/>
          </w:tcPr>
          <w:p>
            <w:pPr>
              <w:spacing w:before="60" w:after="60"/>
              <w:jc w:val="center"/>
            </w:pPr>
            <w:r>
              <w:rPr>
                <w:b/>
                <w:color w:val="FFFFFF"/>
                <w:sz w:val="20"/>
              </w:rPr>
              <w:t>Caractéristique</w:t>
            </w:r>
          </w:p>
        </w:tc>
      </w:tr>
      <w:tr>
        <w:tc>
          <w:tcPr>
            <w:tcW w:type="dxa" w:w="1984"/>
            <w:shd w:val="clear" w:color="auto" w:fill="F2F2F2"/>
          </w:tcPr>
          <w:p>
            <w:pPr>
              <w:spacing w:before="40" w:after="40"/>
            </w:pPr>
            <w:r>
              <w:rPr>
                <w:sz w:val="19"/>
              </w:rPr>
              <w:t>Blé (wheat)</w:t>
            </w:r>
          </w:p>
        </w:tc>
        <w:tc>
          <w:tcPr>
            <w:tcW w:type="dxa" w:w="1417"/>
            <w:shd w:val="clear" w:color="auto" w:fill="F2F2F2"/>
          </w:tcPr>
          <w:p>
            <w:pPr>
              <w:spacing w:before="40" w:after="40"/>
            </w:pPr>
            <w:r>
              <w:rPr>
                <w:sz w:val="19"/>
              </w:rPr>
              <w:t>3.5 t/ha</w:t>
            </w:r>
          </w:p>
        </w:tc>
        <w:tc>
          <w:tcPr>
            <w:tcW w:type="dxa" w:w="1417"/>
            <w:shd w:val="clear" w:color="auto" w:fill="F2F2F2"/>
          </w:tcPr>
          <w:p>
            <w:pPr>
              <w:spacing w:before="40" w:after="40"/>
            </w:pPr>
            <w:r>
              <w:rPr>
                <w:sz w:val="19"/>
              </w:rPr>
              <w:t>15 °C</w:t>
            </w:r>
          </w:p>
        </w:tc>
        <w:tc>
          <w:tcPr>
            <w:tcW w:type="dxa" w:w="1417"/>
            <w:shd w:val="clear" w:color="auto" w:fill="F2F2F2"/>
          </w:tcPr>
          <w:p>
            <w:pPr>
              <w:spacing w:before="40" w:after="40"/>
            </w:pPr>
            <w:r>
              <w:rPr>
                <w:sz w:val="19"/>
              </w:rPr>
              <w:t>500 mm</w:t>
            </w:r>
          </w:p>
        </w:tc>
        <w:tc>
          <w:tcPr>
            <w:tcW w:type="dxa" w:w="2551"/>
            <w:shd w:val="clear" w:color="auto" w:fill="F2F2F2"/>
          </w:tcPr>
          <w:p>
            <w:pPr>
              <w:spacing w:before="40" w:after="40"/>
            </w:pPr>
            <w:r>
              <w:rPr>
                <w:sz w:val="19"/>
              </w:rPr>
              <w:t>Culture tempérée — sensible au gel tardif</w:t>
            </w:r>
          </w:p>
        </w:tc>
      </w:tr>
      <w:tr>
        <w:tc>
          <w:tcPr>
            <w:tcW w:type="dxa" w:w="1984"/>
            <w:shd w:val="clear" w:color="auto" w:fill="FFFFFF"/>
          </w:tcPr>
          <w:p>
            <w:pPr>
              <w:spacing w:before="40" w:after="40"/>
            </w:pPr>
            <w:r>
              <w:rPr>
                <w:sz w:val="19"/>
              </w:rPr>
              <w:t>Maïs (corn)</w:t>
            </w:r>
          </w:p>
        </w:tc>
        <w:tc>
          <w:tcPr>
            <w:tcW w:type="dxa" w:w="1417"/>
            <w:shd w:val="clear" w:color="auto" w:fill="FFFFFF"/>
          </w:tcPr>
          <w:p>
            <w:pPr>
              <w:spacing w:before="40" w:after="40"/>
            </w:pPr>
            <w:r>
              <w:rPr>
                <w:sz w:val="19"/>
              </w:rPr>
              <w:t>5.5 t/ha</w:t>
            </w:r>
          </w:p>
        </w:tc>
        <w:tc>
          <w:tcPr>
            <w:tcW w:type="dxa" w:w="1417"/>
            <w:shd w:val="clear" w:color="auto" w:fill="FFFFFF"/>
          </w:tcPr>
          <w:p>
            <w:pPr>
              <w:spacing w:before="40" w:after="40"/>
            </w:pPr>
            <w:r>
              <w:rPr>
                <w:sz w:val="19"/>
              </w:rPr>
              <w:t>22 °C</w:t>
            </w:r>
          </w:p>
        </w:tc>
        <w:tc>
          <w:tcPr>
            <w:tcW w:type="dxa" w:w="1417"/>
            <w:shd w:val="clear" w:color="auto" w:fill="FFFFFF"/>
          </w:tcPr>
          <w:p>
            <w:pPr>
              <w:spacing w:before="40" w:after="40"/>
            </w:pPr>
            <w:r>
              <w:rPr>
                <w:sz w:val="19"/>
              </w:rPr>
              <w:t>650 mm</w:t>
            </w:r>
          </w:p>
        </w:tc>
        <w:tc>
          <w:tcPr>
            <w:tcW w:type="dxa" w:w="2551"/>
            <w:shd w:val="clear" w:color="auto" w:fill="FFFFFF"/>
          </w:tcPr>
          <w:p>
            <w:pPr>
              <w:spacing w:before="40" w:after="40"/>
            </w:pPr>
            <w:r>
              <w:rPr>
                <w:sz w:val="19"/>
              </w:rPr>
              <w:t>Forte exigence hydrique en floraison</w:t>
            </w:r>
          </w:p>
        </w:tc>
      </w:tr>
      <w:tr>
        <w:tc>
          <w:tcPr>
            <w:tcW w:type="dxa" w:w="1984"/>
            <w:shd w:val="clear" w:color="auto" w:fill="F2F2F2"/>
          </w:tcPr>
          <w:p>
            <w:pPr>
              <w:spacing w:before="40" w:after="40"/>
            </w:pPr>
            <w:r>
              <w:rPr>
                <w:sz w:val="19"/>
              </w:rPr>
              <w:t>Riz (rice)</w:t>
            </w:r>
          </w:p>
        </w:tc>
        <w:tc>
          <w:tcPr>
            <w:tcW w:type="dxa" w:w="1417"/>
            <w:shd w:val="clear" w:color="auto" w:fill="F2F2F2"/>
          </w:tcPr>
          <w:p>
            <w:pPr>
              <w:spacing w:before="40" w:after="40"/>
            </w:pPr>
            <w:r>
              <w:rPr>
                <w:sz w:val="19"/>
              </w:rPr>
              <w:t>4.2 t/ha</w:t>
            </w:r>
          </w:p>
        </w:tc>
        <w:tc>
          <w:tcPr>
            <w:tcW w:type="dxa" w:w="1417"/>
            <w:shd w:val="clear" w:color="auto" w:fill="F2F2F2"/>
          </w:tcPr>
          <w:p>
            <w:pPr>
              <w:spacing w:before="40" w:after="40"/>
            </w:pPr>
            <w:r>
              <w:rPr>
                <w:sz w:val="19"/>
              </w:rPr>
              <w:t>28 °C</w:t>
            </w:r>
          </w:p>
        </w:tc>
        <w:tc>
          <w:tcPr>
            <w:tcW w:type="dxa" w:w="1417"/>
            <w:shd w:val="clear" w:color="auto" w:fill="F2F2F2"/>
          </w:tcPr>
          <w:p>
            <w:pPr>
              <w:spacing w:before="40" w:after="40"/>
            </w:pPr>
            <w:r>
              <w:rPr>
                <w:sz w:val="19"/>
              </w:rPr>
              <w:t>1 200 mm</w:t>
            </w:r>
          </w:p>
        </w:tc>
        <w:tc>
          <w:tcPr>
            <w:tcW w:type="dxa" w:w="2551"/>
            <w:shd w:val="clear" w:color="auto" w:fill="F2F2F2"/>
          </w:tcPr>
          <w:p>
            <w:pPr>
              <w:spacing w:before="40" w:after="40"/>
            </w:pPr>
            <w:r>
              <w:rPr>
                <w:sz w:val="19"/>
              </w:rPr>
              <w:t>Culture inondée — optimum tropical</w:t>
            </w:r>
          </w:p>
        </w:tc>
      </w:tr>
      <w:tr>
        <w:tc>
          <w:tcPr>
            <w:tcW w:type="dxa" w:w="1984"/>
            <w:shd w:val="clear" w:color="auto" w:fill="FFFFFF"/>
          </w:tcPr>
          <w:p>
            <w:pPr>
              <w:spacing w:before="40" w:after="40"/>
            </w:pPr>
            <w:r>
              <w:rPr>
                <w:sz w:val="19"/>
              </w:rPr>
              <w:t>Soja (soybean)</w:t>
            </w:r>
          </w:p>
        </w:tc>
        <w:tc>
          <w:tcPr>
            <w:tcW w:type="dxa" w:w="1417"/>
            <w:shd w:val="clear" w:color="auto" w:fill="FFFFFF"/>
          </w:tcPr>
          <w:p>
            <w:pPr>
              <w:spacing w:before="40" w:after="40"/>
            </w:pPr>
            <w:r>
              <w:rPr>
                <w:sz w:val="19"/>
              </w:rPr>
              <w:t>2.8 t/ha</w:t>
            </w:r>
          </w:p>
        </w:tc>
        <w:tc>
          <w:tcPr>
            <w:tcW w:type="dxa" w:w="1417"/>
            <w:shd w:val="clear" w:color="auto" w:fill="FFFFFF"/>
          </w:tcPr>
          <w:p>
            <w:pPr>
              <w:spacing w:before="40" w:after="40"/>
            </w:pPr>
            <w:r>
              <w:rPr>
                <w:sz w:val="19"/>
              </w:rPr>
              <w:t>24 °C</w:t>
            </w:r>
          </w:p>
        </w:tc>
        <w:tc>
          <w:tcPr>
            <w:tcW w:type="dxa" w:w="1417"/>
            <w:shd w:val="clear" w:color="auto" w:fill="FFFFFF"/>
          </w:tcPr>
          <w:p>
            <w:pPr>
              <w:spacing w:before="40" w:after="40"/>
            </w:pPr>
            <w:r>
              <w:rPr>
                <w:sz w:val="19"/>
              </w:rPr>
              <w:t>700 mm</w:t>
            </w:r>
          </w:p>
        </w:tc>
        <w:tc>
          <w:tcPr>
            <w:tcW w:type="dxa" w:w="2551"/>
            <w:shd w:val="clear" w:color="auto" w:fill="FFFFFF"/>
          </w:tcPr>
          <w:p>
            <w:pPr>
              <w:spacing w:before="40" w:after="40"/>
            </w:pPr>
            <w:r>
              <w:rPr>
                <w:sz w:val="19"/>
              </w:rPr>
              <w:t>Fixateur d'azote — sensible à la sécheresse</w:t>
            </w:r>
          </w:p>
        </w:tc>
      </w:tr>
      <w:tr>
        <w:tc>
          <w:tcPr>
            <w:tcW w:type="dxa" w:w="1984"/>
            <w:shd w:val="clear" w:color="auto" w:fill="F2F2F2"/>
          </w:tcPr>
          <w:p>
            <w:pPr>
              <w:spacing w:before="40" w:after="40"/>
            </w:pPr>
            <w:r>
              <w:rPr>
                <w:sz w:val="19"/>
              </w:rPr>
              <w:t>Tournesol (sunflower)</w:t>
            </w:r>
          </w:p>
        </w:tc>
        <w:tc>
          <w:tcPr>
            <w:tcW w:type="dxa" w:w="1417"/>
            <w:shd w:val="clear" w:color="auto" w:fill="F2F2F2"/>
          </w:tcPr>
          <w:p>
            <w:pPr>
              <w:spacing w:before="40" w:after="40"/>
            </w:pPr>
            <w:r>
              <w:rPr>
                <w:sz w:val="19"/>
              </w:rPr>
              <w:t>2.0 t/ha</w:t>
            </w:r>
          </w:p>
        </w:tc>
        <w:tc>
          <w:tcPr>
            <w:tcW w:type="dxa" w:w="1417"/>
            <w:shd w:val="clear" w:color="auto" w:fill="F2F2F2"/>
          </w:tcPr>
          <w:p>
            <w:pPr>
              <w:spacing w:before="40" w:after="40"/>
            </w:pPr>
            <w:r>
              <w:rPr>
                <w:sz w:val="19"/>
              </w:rPr>
              <w:t>20 °C</w:t>
            </w:r>
          </w:p>
        </w:tc>
        <w:tc>
          <w:tcPr>
            <w:tcW w:type="dxa" w:w="1417"/>
            <w:shd w:val="clear" w:color="auto" w:fill="F2F2F2"/>
          </w:tcPr>
          <w:p>
            <w:pPr>
              <w:spacing w:before="40" w:after="40"/>
            </w:pPr>
            <w:r>
              <w:rPr>
                <w:sz w:val="19"/>
              </w:rPr>
              <w:t>450 mm</w:t>
            </w:r>
          </w:p>
        </w:tc>
        <w:tc>
          <w:tcPr>
            <w:tcW w:type="dxa" w:w="2551"/>
            <w:shd w:val="clear" w:color="auto" w:fill="F2F2F2"/>
          </w:tcPr>
          <w:p>
            <w:pPr>
              <w:spacing w:before="40" w:after="40"/>
            </w:pPr>
            <w:r>
              <w:rPr>
                <w:sz w:val="19"/>
              </w:rPr>
              <w:t>Tolérant à la sécheresse — profond enracinement</w:t>
            </w:r>
          </w:p>
        </w:tc>
      </w:tr>
    </w:tbl>
    <w:p/>
    <w:p>
      <w:pPr>
        <w:pStyle w:val="Heading3"/>
        <w:spacing w:before="160" w:after="80"/>
      </w:pPr>
      <w:r>
        <w:rPr>
          <w:b/>
          <w:sz w:val="22"/>
        </w:rPr>
        <w:t>Modèle de simulation du rendement</w:t>
      </w:r>
    </w:p>
    <w:p>
      <w:pPr>
        <w:spacing w:after="120"/>
        <w:ind w:firstLine="0"/>
      </w:pPr>
      <w:r>
        <w:rPr>
          <w:sz w:val="21"/>
        </w:rPr>
        <w:t>Le rendement simulé intègre quatre effets additifs autour d'un rendement de base spécifique à la culture, garantissant la cohérence agronomique des données :</w:t>
      </w:r>
    </w:p>
    <w:p>
      <w:pPr>
        <w:pStyle w:val="ListBullet"/>
        <w:spacing w:after="40"/>
        <w:ind w:left="283"/>
      </w:pPr>
      <w:r>
        <w:rPr>
          <w:sz w:val="21"/>
        </w:rPr>
        <w:t>Effet pesticides : modèle log-linéaire — bénéfice marginal décroissant (base × 0.20 × ln(1 + 4·p_norm))</w:t>
      </w:r>
    </w:p>
    <w:p>
      <w:pPr>
        <w:pStyle w:val="ListBullet"/>
        <w:spacing w:after="40"/>
        <w:ind w:left="283"/>
      </w:pPr>
      <w:r>
        <w:rPr>
          <w:sz w:val="21"/>
        </w:rPr>
        <w:t>Effet sol : pénalité quadratique au-dessus/en-dessous du pH optimal 6.5, bonus linéaire pour l'humidité et l'azote</w:t>
      </w:r>
    </w:p>
    <w:p>
      <w:pPr>
        <w:pStyle w:val="ListBullet"/>
        <w:spacing w:after="40"/>
        <w:ind w:left="283"/>
      </w:pPr>
      <w:r>
        <w:rPr>
          <w:sz w:val="21"/>
        </w:rPr>
        <w:t>Effet climatique : pénalité quadratique sur l'écart à la température et à la pluviométrie optimales</w:t>
      </w:r>
    </w:p>
    <w:p>
      <w:pPr>
        <w:pStyle w:val="ListBullet"/>
        <w:spacing w:after="40"/>
        <w:ind w:left="283"/>
      </w:pPr>
      <w:r>
        <w:rPr>
          <w:sz w:val="21"/>
        </w:rPr>
        <w:t>Bruit stochastique : bruit gaussien (σ = 12 % du rendement de base) pour simuler la variabilité naturelle</w:t>
      </w:r>
    </w:p>
    <w:p>
      <w:pPr>
        <w:pStyle w:val="Heading2"/>
        <w:spacing w:before="240" w:after="100"/>
      </w:pPr>
      <w:r>
        <w:rPr>
          <w:color w:val="2F75B6"/>
          <w:sz w:val="26"/>
        </w:rPr>
        <w:t>3.4 Analyse statistique des données</w:t>
      </w:r>
    </w:p>
    <w:p>
      <w:pPr>
        <w:spacing w:after="120"/>
        <w:ind w:firstLine="0"/>
      </w:pPr>
      <w:r>
        <w:rPr>
          <w:sz w:val="21"/>
        </w:rPr>
        <w:t>L'analyse exploratoire du dataset d'entraînement (420 observations, 13 features, 1 variable cible) révèle les caractéristiques suivantes :</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2551"/>
            <w:shd w:val="clear" w:color="auto" w:fill="1F4E79"/>
            <w:vAlign w:val="center"/>
          </w:tcPr>
          <w:p>
            <w:pPr>
              <w:spacing w:before="60" w:after="60"/>
              <w:jc w:val="center"/>
            </w:pPr>
            <w:r>
              <w:rPr>
                <w:b/>
                <w:color w:val="FFFFFF"/>
                <w:sz w:val="20"/>
              </w:rPr>
              <w:t>Variable</w:t>
            </w:r>
          </w:p>
        </w:tc>
        <w:tc>
          <w:tcPr>
            <w:tcW w:type="dxa" w:w="737"/>
            <w:shd w:val="clear" w:color="auto" w:fill="1F4E79"/>
            <w:vAlign w:val="center"/>
          </w:tcPr>
          <w:p>
            <w:pPr>
              <w:spacing w:before="60" w:after="60"/>
              <w:jc w:val="center"/>
            </w:pPr>
            <w:r>
              <w:rPr>
                <w:b/>
                <w:color w:val="FFFFFF"/>
                <w:sz w:val="20"/>
              </w:rPr>
              <w:t>Min</w:t>
            </w:r>
          </w:p>
        </w:tc>
        <w:tc>
          <w:tcPr>
            <w:tcW w:type="dxa" w:w="850"/>
            <w:shd w:val="clear" w:color="auto" w:fill="1F4E79"/>
            <w:vAlign w:val="center"/>
          </w:tcPr>
          <w:p>
            <w:pPr>
              <w:spacing w:before="60" w:after="60"/>
              <w:jc w:val="center"/>
            </w:pPr>
            <w:r>
              <w:rPr>
                <w:b/>
                <w:color w:val="FFFFFF"/>
                <w:sz w:val="20"/>
              </w:rPr>
              <w:t>Max</w:t>
            </w:r>
          </w:p>
        </w:tc>
        <w:tc>
          <w:tcPr>
            <w:tcW w:type="dxa" w:w="964"/>
            <w:shd w:val="clear" w:color="auto" w:fill="1F4E79"/>
            <w:vAlign w:val="center"/>
          </w:tcPr>
          <w:p>
            <w:pPr>
              <w:spacing w:before="60" w:after="60"/>
              <w:jc w:val="center"/>
            </w:pPr>
            <w:r>
              <w:rPr>
                <w:b/>
                <w:color w:val="FFFFFF"/>
                <w:sz w:val="20"/>
              </w:rPr>
              <w:t>Moyenne</w:t>
            </w:r>
          </w:p>
        </w:tc>
        <w:tc>
          <w:tcPr>
            <w:tcW w:type="dxa" w:w="1134"/>
            <w:shd w:val="clear" w:color="auto" w:fill="1F4E79"/>
            <w:vAlign w:val="center"/>
          </w:tcPr>
          <w:p>
            <w:pPr>
              <w:spacing w:before="60" w:after="60"/>
              <w:jc w:val="center"/>
            </w:pPr>
            <w:r>
              <w:rPr>
                <w:b/>
                <w:color w:val="FFFFFF"/>
                <w:sz w:val="20"/>
              </w:rPr>
              <w:t>Écart-type</w:t>
            </w:r>
          </w:p>
        </w:tc>
        <w:tc>
          <w:tcPr>
            <w:tcW w:type="dxa" w:w="2551"/>
            <w:shd w:val="clear" w:color="auto" w:fill="1F4E79"/>
            <w:vAlign w:val="center"/>
          </w:tcPr>
          <w:p>
            <w:pPr>
              <w:spacing w:before="60" w:after="60"/>
              <w:jc w:val="center"/>
            </w:pPr>
            <w:r>
              <w:rPr>
                <w:b/>
                <w:color w:val="FFFFFF"/>
                <w:sz w:val="20"/>
              </w:rPr>
              <w:t>Corrélation avec rendement</w:t>
            </w:r>
          </w:p>
        </w:tc>
      </w:tr>
      <w:tr>
        <w:tc>
          <w:tcPr>
            <w:tcW w:type="dxa" w:w="2551"/>
            <w:shd w:val="clear" w:color="auto" w:fill="F2F2F2"/>
          </w:tcPr>
          <w:p>
            <w:pPr>
              <w:spacing w:before="40" w:after="40"/>
            </w:pPr>
            <w:r>
              <w:rPr>
                <w:sz w:val="19"/>
              </w:rPr>
              <w:t>yield_t_per_ha (cible)</w:t>
            </w:r>
          </w:p>
        </w:tc>
        <w:tc>
          <w:tcPr>
            <w:tcW w:type="dxa" w:w="737"/>
            <w:shd w:val="clear" w:color="auto" w:fill="F2F2F2"/>
          </w:tcPr>
          <w:p>
            <w:pPr>
              <w:spacing w:before="40" w:after="40"/>
            </w:pPr>
            <w:r>
              <w:rPr>
                <w:sz w:val="19"/>
              </w:rPr>
              <w:t>0.10</w:t>
            </w:r>
          </w:p>
        </w:tc>
        <w:tc>
          <w:tcPr>
            <w:tcW w:type="dxa" w:w="850"/>
            <w:shd w:val="clear" w:color="auto" w:fill="F2F2F2"/>
          </w:tcPr>
          <w:p>
            <w:pPr>
              <w:spacing w:before="40" w:after="40"/>
            </w:pPr>
            <w:r>
              <w:rPr>
                <w:sz w:val="19"/>
              </w:rPr>
              <w:t>8.52</w:t>
            </w:r>
          </w:p>
        </w:tc>
        <w:tc>
          <w:tcPr>
            <w:tcW w:type="dxa" w:w="964"/>
            <w:shd w:val="clear" w:color="auto" w:fill="F2F2F2"/>
          </w:tcPr>
          <w:p>
            <w:pPr>
              <w:spacing w:before="40" w:after="40"/>
            </w:pPr>
            <w:r>
              <w:rPr>
                <w:sz w:val="19"/>
              </w:rPr>
              <w:t>1.32</w:t>
            </w:r>
          </w:p>
        </w:tc>
        <w:tc>
          <w:tcPr>
            <w:tcW w:type="dxa" w:w="1134"/>
            <w:shd w:val="clear" w:color="auto" w:fill="F2F2F2"/>
          </w:tcPr>
          <w:p>
            <w:pPr>
              <w:spacing w:before="40" w:after="40"/>
            </w:pPr>
            <w:r>
              <w:rPr>
                <w:sz w:val="19"/>
              </w:rPr>
              <w:t>1.26</w:t>
            </w:r>
          </w:p>
        </w:tc>
        <w:tc>
          <w:tcPr>
            <w:tcW w:type="dxa" w:w="2551"/>
            <w:shd w:val="clear" w:color="auto" w:fill="F2F2F2"/>
          </w:tcPr>
          <w:p>
            <w:pPr>
              <w:spacing w:before="40" w:after="40"/>
            </w:pPr>
            <w:r>
              <w:rPr>
                <w:sz w:val="19"/>
              </w:rPr>
              <w:t>—</w:t>
            </w:r>
          </w:p>
        </w:tc>
      </w:tr>
      <w:tr>
        <w:tc>
          <w:tcPr>
            <w:tcW w:type="dxa" w:w="2551"/>
            <w:shd w:val="clear" w:color="auto" w:fill="FFFFFF"/>
          </w:tcPr>
          <w:p>
            <w:pPr>
              <w:spacing w:before="40" w:after="40"/>
            </w:pPr>
            <w:r>
              <w:rPr>
                <w:sz w:val="19"/>
              </w:rPr>
              <w:t>soil_moisture</w:t>
            </w:r>
          </w:p>
        </w:tc>
        <w:tc>
          <w:tcPr>
            <w:tcW w:type="dxa" w:w="737"/>
            <w:shd w:val="clear" w:color="auto" w:fill="FFFFFF"/>
          </w:tcPr>
          <w:p>
            <w:pPr>
              <w:spacing w:before="40" w:after="40"/>
            </w:pPr>
            <w:r>
              <w:rPr>
                <w:sz w:val="19"/>
              </w:rPr>
              <w:t>0.10</w:t>
            </w:r>
          </w:p>
        </w:tc>
        <w:tc>
          <w:tcPr>
            <w:tcW w:type="dxa" w:w="850"/>
            <w:shd w:val="clear" w:color="auto" w:fill="FFFFFF"/>
          </w:tcPr>
          <w:p>
            <w:pPr>
              <w:spacing w:before="40" w:after="40"/>
            </w:pPr>
            <w:r>
              <w:rPr>
                <w:sz w:val="19"/>
              </w:rPr>
              <w:t>0.80</w:t>
            </w:r>
          </w:p>
        </w:tc>
        <w:tc>
          <w:tcPr>
            <w:tcW w:type="dxa" w:w="964"/>
            <w:shd w:val="clear" w:color="auto" w:fill="FFFFFF"/>
          </w:tcPr>
          <w:p>
            <w:pPr>
              <w:spacing w:before="40" w:after="40"/>
            </w:pPr>
            <w:r>
              <w:rPr>
                <w:sz w:val="19"/>
              </w:rPr>
              <w:t>0.45</w:t>
            </w:r>
          </w:p>
        </w:tc>
        <w:tc>
          <w:tcPr>
            <w:tcW w:type="dxa" w:w="1134"/>
            <w:shd w:val="clear" w:color="auto" w:fill="FFFFFF"/>
          </w:tcPr>
          <w:p>
            <w:pPr>
              <w:spacing w:before="40" w:after="40"/>
            </w:pPr>
            <w:r>
              <w:rPr>
                <w:sz w:val="19"/>
              </w:rPr>
              <w:t>0.10</w:t>
            </w:r>
          </w:p>
        </w:tc>
        <w:tc>
          <w:tcPr>
            <w:tcW w:type="dxa" w:w="2551"/>
            <w:shd w:val="clear" w:color="auto" w:fill="FFFFFF"/>
          </w:tcPr>
          <w:p>
            <w:pPr>
              <w:spacing w:before="40" w:after="40"/>
            </w:pPr>
            <w:r>
              <w:rPr>
                <w:sz w:val="19"/>
              </w:rPr>
              <w:t>+0.15</w:t>
            </w:r>
          </w:p>
        </w:tc>
      </w:tr>
      <w:tr>
        <w:tc>
          <w:tcPr>
            <w:tcW w:type="dxa" w:w="2551"/>
            <w:shd w:val="clear" w:color="auto" w:fill="F2F2F2"/>
          </w:tcPr>
          <w:p>
            <w:pPr>
              <w:spacing w:before="40" w:after="40"/>
            </w:pPr>
            <w:r>
              <w:rPr>
                <w:sz w:val="19"/>
              </w:rPr>
              <w:t>soil_ph</w:t>
            </w:r>
          </w:p>
        </w:tc>
        <w:tc>
          <w:tcPr>
            <w:tcW w:type="dxa" w:w="737"/>
            <w:shd w:val="clear" w:color="auto" w:fill="F2F2F2"/>
          </w:tcPr>
          <w:p>
            <w:pPr>
              <w:spacing w:before="40" w:after="40"/>
            </w:pPr>
            <w:r>
              <w:rPr>
                <w:sz w:val="19"/>
              </w:rPr>
              <w:t>5.0</w:t>
            </w:r>
          </w:p>
        </w:tc>
        <w:tc>
          <w:tcPr>
            <w:tcW w:type="dxa" w:w="850"/>
            <w:shd w:val="clear" w:color="auto" w:fill="F2F2F2"/>
          </w:tcPr>
          <w:p>
            <w:pPr>
              <w:spacing w:before="40" w:after="40"/>
            </w:pPr>
            <w:r>
              <w:rPr>
                <w:sz w:val="19"/>
              </w:rPr>
              <w:t>8.0</w:t>
            </w:r>
          </w:p>
        </w:tc>
        <w:tc>
          <w:tcPr>
            <w:tcW w:type="dxa" w:w="964"/>
            <w:shd w:val="clear" w:color="auto" w:fill="F2F2F2"/>
          </w:tcPr>
          <w:p>
            <w:pPr>
              <w:spacing w:before="40" w:after="40"/>
            </w:pPr>
            <w:r>
              <w:rPr>
                <w:sz w:val="19"/>
              </w:rPr>
              <w:t>6.50</w:t>
            </w:r>
          </w:p>
        </w:tc>
        <w:tc>
          <w:tcPr>
            <w:tcW w:type="dxa" w:w="1134"/>
            <w:shd w:val="clear" w:color="auto" w:fill="F2F2F2"/>
          </w:tcPr>
          <w:p>
            <w:pPr>
              <w:spacing w:before="40" w:after="40"/>
            </w:pPr>
            <w:r>
              <w:rPr>
                <w:sz w:val="19"/>
              </w:rPr>
              <w:t>0.40</w:t>
            </w:r>
          </w:p>
        </w:tc>
        <w:tc>
          <w:tcPr>
            <w:tcW w:type="dxa" w:w="2551"/>
            <w:shd w:val="clear" w:color="auto" w:fill="F2F2F2"/>
          </w:tcPr>
          <w:p>
            <w:pPr>
              <w:spacing w:before="40" w:after="40"/>
            </w:pPr>
            <w:r>
              <w:rPr>
                <w:sz w:val="19"/>
              </w:rPr>
              <w:t>-0.12</w:t>
            </w:r>
          </w:p>
        </w:tc>
      </w:tr>
      <w:tr>
        <w:tc>
          <w:tcPr>
            <w:tcW w:type="dxa" w:w="2551"/>
            <w:shd w:val="clear" w:color="auto" w:fill="FFFFFF"/>
          </w:tcPr>
          <w:p>
            <w:pPr>
              <w:spacing w:before="40" w:after="40"/>
            </w:pPr>
            <w:r>
              <w:rPr>
                <w:sz w:val="19"/>
              </w:rPr>
              <w:t>nitrogen_ppm</w:t>
            </w:r>
          </w:p>
        </w:tc>
        <w:tc>
          <w:tcPr>
            <w:tcW w:type="dxa" w:w="737"/>
            <w:shd w:val="clear" w:color="auto" w:fill="FFFFFF"/>
          </w:tcPr>
          <w:p>
            <w:pPr>
              <w:spacing w:before="40" w:after="40"/>
            </w:pPr>
            <w:r>
              <w:rPr>
                <w:sz w:val="19"/>
              </w:rPr>
              <w:t>40</w:t>
            </w:r>
          </w:p>
        </w:tc>
        <w:tc>
          <w:tcPr>
            <w:tcW w:type="dxa" w:w="850"/>
            <w:shd w:val="clear" w:color="auto" w:fill="FFFFFF"/>
          </w:tcPr>
          <w:p>
            <w:pPr>
              <w:spacing w:before="40" w:after="40"/>
            </w:pPr>
            <w:r>
              <w:rPr>
                <w:sz w:val="19"/>
              </w:rPr>
              <w:t>220</w:t>
            </w:r>
          </w:p>
        </w:tc>
        <w:tc>
          <w:tcPr>
            <w:tcW w:type="dxa" w:w="964"/>
            <w:shd w:val="clear" w:color="auto" w:fill="FFFFFF"/>
          </w:tcPr>
          <w:p>
            <w:pPr>
              <w:spacing w:before="40" w:after="40"/>
            </w:pPr>
            <w:r>
              <w:rPr>
                <w:sz w:val="19"/>
              </w:rPr>
              <w:t>120</w:t>
            </w:r>
          </w:p>
        </w:tc>
        <w:tc>
          <w:tcPr>
            <w:tcW w:type="dxa" w:w="1134"/>
            <w:shd w:val="clear" w:color="auto" w:fill="FFFFFF"/>
          </w:tcPr>
          <w:p>
            <w:pPr>
              <w:spacing w:before="40" w:after="40"/>
            </w:pPr>
            <w:r>
              <w:rPr>
                <w:sz w:val="19"/>
              </w:rPr>
              <w:t>30</w:t>
            </w:r>
          </w:p>
        </w:tc>
        <w:tc>
          <w:tcPr>
            <w:tcW w:type="dxa" w:w="2551"/>
            <w:shd w:val="clear" w:color="auto" w:fill="FFFFFF"/>
          </w:tcPr>
          <w:p>
            <w:pPr>
              <w:spacing w:before="40" w:after="40"/>
            </w:pPr>
            <w:r>
              <w:rPr>
                <w:sz w:val="19"/>
              </w:rPr>
              <w:t>+0.18</w:t>
            </w:r>
          </w:p>
        </w:tc>
      </w:tr>
      <w:tr>
        <w:tc>
          <w:tcPr>
            <w:tcW w:type="dxa" w:w="2551"/>
            <w:shd w:val="clear" w:color="auto" w:fill="F2F2F2"/>
          </w:tcPr>
          <w:p>
            <w:pPr>
              <w:spacing w:before="40" w:after="40"/>
            </w:pPr>
            <w:r>
              <w:rPr>
                <w:sz w:val="19"/>
              </w:rPr>
              <w:t>air_temp_c</w:t>
            </w:r>
          </w:p>
        </w:tc>
        <w:tc>
          <w:tcPr>
            <w:tcW w:type="dxa" w:w="737"/>
            <w:shd w:val="clear" w:color="auto" w:fill="F2F2F2"/>
          </w:tcPr>
          <w:p>
            <w:pPr>
              <w:spacing w:before="40" w:after="40"/>
            </w:pPr>
            <w:r>
              <w:rPr>
                <w:sz w:val="19"/>
              </w:rPr>
              <w:t>-5</w:t>
            </w:r>
          </w:p>
        </w:tc>
        <w:tc>
          <w:tcPr>
            <w:tcW w:type="dxa" w:w="850"/>
            <w:shd w:val="clear" w:color="auto" w:fill="F2F2F2"/>
          </w:tcPr>
          <w:p>
            <w:pPr>
              <w:spacing w:before="40" w:after="40"/>
            </w:pPr>
            <w:r>
              <w:rPr>
                <w:sz w:val="19"/>
              </w:rPr>
              <w:t>35</w:t>
            </w:r>
          </w:p>
        </w:tc>
        <w:tc>
          <w:tcPr>
            <w:tcW w:type="dxa" w:w="964"/>
            <w:shd w:val="clear" w:color="auto" w:fill="F2F2F2"/>
          </w:tcPr>
          <w:p>
            <w:pPr>
              <w:spacing w:before="40" w:after="40"/>
            </w:pPr>
            <w:r>
              <w:rPr>
                <w:sz w:val="19"/>
              </w:rPr>
              <w:t>18</w:t>
            </w:r>
          </w:p>
        </w:tc>
        <w:tc>
          <w:tcPr>
            <w:tcW w:type="dxa" w:w="1134"/>
            <w:shd w:val="clear" w:color="auto" w:fill="F2F2F2"/>
          </w:tcPr>
          <w:p>
            <w:pPr>
              <w:spacing w:before="40" w:after="40"/>
            </w:pPr>
            <w:r>
              <w:rPr>
                <w:sz w:val="19"/>
              </w:rPr>
              <w:t>9</w:t>
            </w:r>
          </w:p>
        </w:tc>
        <w:tc>
          <w:tcPr>
            <w:tcW w:type="dxa" w:w="2551"/>
            <w:shd w:val="clear" w:color="auto" w:fill="F2F2F2"/>
          </w:tcPr>
          <w:p>
            <w:pPr>
              <w:spacing w:before="40" w:after="40"/>
            </w:pPr>
            <w:r>
              <w:rPr>
                <w:sz w:val="19"/>
              </w:rPr>
              <w:t>-0.08 (non-linéaire)</w:t>
            </w:r>
          </w:p>
        </w:tc>
      </w:tr>
      <w:tr>
        <w:tc>
          <w:tcPr>
            <w:tcW w:type="dxa" w:w="2551"/>
            <w:shd w:val="clear" w:color="auto" w:fill="FFFFFF"/>
          </w:tcPr>
          <w:p>
            <w:pPr>
              <w:spacing w:before="40" w:after="40"/>
            </w:pPr>
            <w:r>
              <w:rPr>
                <w:sz w:val="19"/>
              </w:rPr>
              <w:t>rainfall_mm</w:t>
            </w:r>
          </w:p>
        </w:tc>
        <w:tc>
          <w:tcPr>
            <w:tcW w:type="dxa" w:w="737"/>
            <w:shd w:val="clear" w:color="auto" w:fill="FFFFFF"/>
          </w:tcPr>
          <w:p>
            <w:pPr>
              <w:spacing w:before="40" w:after="40"/>
            </w:pPr>
            <w:r>
              <w:rPr>
                <w:sz w:val="19"/>
              </w:rPr>
              <w:t>100</w:t>
            </w:r>
          </w:p>
        </w:tc>
        <w:tc>
          <w:tcPr>
            <w:tcW w:type="dxa" w:w="850"/>
            <w:shd w:val="clear" w:color="auto" w:fill="FFFFFF"/>
          </w:tcPr>
          <w:p>
            <w:pPr>
              <w:spacing w:before="40" w:after="40"/>
            </w:pPr>
            <w:r>
              <w:rPr>
                <w:sz w:val="19"/>
              </w:rPr>
              <w:t>4 500</w:t>
            </w:r>
          </w:p>
        </w:tc>
        <w:tc>
          <w:tcPr>
            <w:tcW w:type="dxa" w:w="964"/>
            <w:shd w:val="clear" w:color="auto" w:fill="FFFFFF"/>
          </w:tcPr>
          <w:p>
            <w:pPr>
              <w:spacing w:before="40" w:after="40"/>
            </w:pPr>
            <w:r>
              <w:rPr>
                <w:sz w:val="19"/>
              </w:rPr>
              <w:t>900</w:t>
            </w:r>
          </w:p>
        </w:tc>
        <w:tc>
          <w:tcPr>
            <w:tcW w:type="dxa" w:w="1134"/>
            <w:shd w:val="clear" w:color="auto" w:fill="FFFFFF"/>
          </w:tcPr>
          <w:p>
            <w:pPr>
              <w:spacing w:before="40" w:after="40"/>
            </w:pPr>
            <w:r>
              <w:rPr>
                <w:sz w:val="19"/>
              </w:rPr>
              <w:t>650</w:t>
            </w:r>
          </w:p>
        </w:tc>
        <w:tc>
          <w:tcPr>
            <w:tcW w:type="dxa" w:w="2551"/>
            <w:shd w:val="clear" w:color="auto" w:fill="FFFFFF"/>
          </w:tcPr>
          <w:p>
            <w:pPr>
              <w:spacing w:before="40" w:after="40"/>
            </w:pPr>
            <w:r>
              <w:rPr>
                <w:sz w:val="19"/>
              </w:rPr>
              <w:t>+0.11 (non-linéaire)</w:t>
            </w:r>
          </w:p>
        </w:tc>
      </w:tr>
      <w:tr>
        <w:tc>
          <w:tcPr>
            <w:tcW w:type="dxa" w:w="2551"/>
            <w:shd w:val="clear" w:color="auto" w:fill="F2F2F2"/>
          </w:tcPr>
          <w:p>
            <w:pPr>
              <w:spacing w:before="40" w:after="40"/>
            </w:pPr>
            <w:r>
              <w:rPr>
                <w:sz w:val="19"/>
              </w:rPr>
              <w:t>solar_rad_wm2</w:t>
            </w:r>
          </w:p>
        </w:tc>
        <w:tc>
          <w:tcPr>
            <w:tcW w:type="dxa" w:w="737"/>
            <w:shd w:val="clear" w:color="auto" w:fill="F2F2F2"/>
          </w:tcPr>
          <w:p>
            <w:pPr>
              <w:spacing w:before="40" w:after="40"/>
            </w:pPr>
            <w:r>
              <w:rPr>
                <w:sz w:val="19"/>
              </w:rPr>
              <w:t>90</w:t>
            </w:r>
          </w:p>
        </w:tc>
        <w:tc>
          <w:tcPr>
            <w:tcW w:type="dxa" w:w="850"/>
            <w:shd w:val="clear" w:color="auto" w:fill="F2F2F2"/>
          </w:tcPr>
          <w:p>
            <w:pPr>
              <w:spacing w:before="40" w:after="40"/>
            </w:pPr>
            <w:r>
              <w:rPr>
                <w:sz w:val="19"/>
              </w:rPr>
              <w:t>280</w:t>
            </w:r>
          </w:p>
        </w:tc>
        <w:tc>
          <w:tcPr>
            <w:tcW w:type="dxa" w:w="964"/>
            <w:shd w:val="clear" w:color="auto" w:fill="F2F2F2"/>
          </w:tcPr>
          <w:p>
            <w:pPr>
              <w:spacing w:before="40" w:after="40"/>
            </w:pPr>
            <w:r>
              <w:rPr>
                <w:sz w:val="19"/>
              </w:rPr>
              <w:t>180</w:t>
            </w:r>
          </w:p>
        </w:tc>
        <w:tc>
          <w:tcPr>
            <w:tcW w:type="dxa" w:w="1134"/>
            <w:shd w:val="clear" w:color="auto" w:fill="F2F2F2"/>
          </w:tcPr>
          <w:p>
            <w:pPr>
              <w:spacing w:before="40" w:after="40"/>
            </w:pPr>
            <w:r>
              <w:rPr>
                <w:sz w:val="19"/>
              </w:rPr>
              <w:t>30</w:t>
            </w:r>
          </w:p>
        </w:tc>
        <w:tc>
          <w:tcPr>
            <w:tcW w:type="dxa" w:w="2551"/>
            <w:shd w:val="clear" w:color="auto" w:fill="F2F2F2"/>
          </w:tcPr>
          <w:p>
            <w:pPr>
              <w:spacing w:before="40" w:after="40"/>
            </w:pPr>
            <w:r>
              <w:rPr>
                <w:sz w:val="19"/>
              </w:rPr>
              <w:t>+0.09</w:t>
            </w:r>
          </w:p>
        </w:tc>
      </w:tr>
      <w:tr>
        <w:tc>
          <w:tcPr>
            <w:tcW w:type="dxa" w:w="2551"/>
            <w:shd w:val="clear" w:color="auto" w:fill="FFFFFF"/>
          </w:tcPr>
          <w:p>
            <w:pPr>
              <w:spacing w:before="40" w:after="40"/>
            </w:pPr>
            <w:r>
              <w:rPr>
                <w:sz w:val="19"/>
              </w:rPr>
              <w:t>value_tonnes (pesticides)</w:t>
            </w:r>
          </w:p>
        </w:tc>
        <w:tc>
          <w:tcPr>
            <w:tcW w:type="dxa" w:w="737"/>
            <w:shd w:val="clear" w:color="auto" w:fill="FFFFFF"/>
          </w:tcPr>
          <w:p>
            <w:pPr>
              <w:spacing w:before="40" w:after="40"/>
            </w:pPr>
            <w:r>
              <w:rPr>
                <w:sz w:val="19"/>
              </w:rPr>
              <w:t>0</w:t>
            </w:r>
          </w:p>
        </w:tc>
        <w:tc>
          <w:tcPr>
            <w:tcW w:type="dxa" w:w="850"/>
            <w:shd w:val="clear" w:color="auto" w:fill="FFFFFF"/>
          </w:tcPr>
          <w:p>
            <w:pPr>
              <w:spacing w:before="40" w:after="40"/>
            </w:pPr>
            <w:r>
              <w:rPr>
                <w:sz w:val="19"/>
              </w:rPr>
              <w:t>1 807 000</w:t>
            </w:r>
          </w:p>
        </w:tc>
        <w:tc>
          <w:tcPr>
            <w:tcW w:type="dxa" w:w="964"/>
            <w:shd w:val="clear" w:color="auto" w:fill="FFFFFF"/>
          </w:tcPr>
          <w:p>
            <w:pPr>
              <w:spacing w:before="40" w:after="40"/>
            </w:pPr>
            <w:r>
              <w:rPr>
                <w:sz w:val="19"/>
              </w:rPr>
              <w:t>20 300</w:t>
            </w:r>
          </w:p>
        </w:tc>
        <w:tc>
          <w:tcPr>
            <w:tcW w:type="dxa" w:w="1134"/>
            <w:shd w:val="clear" w:color="auto" w:fill="FFFFFF"/>
          </w:tcPr>
          <w:p>
            <w:pPr>
              <w:spacing w:before="40" w:after="40"/>
            </w:pPr>
            <w:r>
              <w:rPr>
                <w:sz w:val="19"/>
              </w:rPr>
              <w:t>117 700</w:t>
            </w:r>
          </w:p>
        </w:tc>
        <w:tc>
          <w:tcPr>
            <w:tcW w:type="dxa" w:w="2551"/>
            <w:shd w:val="clear" w:color="auto" w:fill="FFFFFF"/>
          </w:tcPr>
          <w:p>
            <w:pPr>
              <w:spacing w:before="40" w:after="40"/>
            </w:pPr>
            <w:r>
              <w:rPr>
                <w:sz w:val="19"/>
              </w:rPr>
              <w:t>+0.14</w:t>
            </w:r>
          </w:p>
        </w:tc>
      </w:tr>
      <w:tr>
        <w:tc>
          <w:tcPr>
            <w:tcW w:type="dxa" w:w="2551"/>
            <w:shd w:val="clear" w:color="auto" w:fill="F2F2F2"/>
          </w:tcPr>
          <w:p>
            <w:pPr>
              <w:spacing w:before="40" w:after="40"/>
            </w:pPr>
            <w:r>
              <w:rPr>
                <w:sz w:val="19"/>
              </w:rPr>
              <w:t>value_normalized</w:t>
            </w:r>
          </w:p>
        </w:tc>
        <w:tc>
          <w:tcPr>
            <w:tcW w:type="dxa" w:w="737"/>
            <w:shd w:val="clear" w:color="auto" w:fill="F2F2F2"/>
          </w:tcPr>
          <w:p>
            <w:pPr>
              <w:spacing w:before="40" w:after="40"/>
            </w:pPr>
            <w:r>
              <w:rPr>
                <w:sz w:val="19"/>
              </w:rPr>
              <w:t>0.0</w:t>
            </w:r>
          </w:p>
        </w:tc>
        <w:tc>
          <w:tcPr>
            <w:tcW w:type="dxa" w:w="850"/>
            <w:shd w:val="clear" w:color="auto" w:fill="F2F2F2"/>
          </w:tcPr>
          <w:p>
            <w:pPr>
              <w:spacing w:before="40" w:after="40"/>
            </w:pPr>
            <w:r>
              <w:rPr>
                <w:sz w:val="19"/>
              </w:rPr>
              <w:t>1.0</w:t>
            </w:r>
          </w:p>
        </w:tc>
        <w:tc>
          <w:tcPr>
            <w:tcW w:type="dxa" w:w="964"/>
            <w:shd w:val="clear" w:color="auto" w:fill="F2F2F2"/>
          </w:tcPr>
          <w:p>
            <w:pPr>
              <w:spacing w:before="40" w:after="40"/>
            </w:pPr>
            <w:r>
              <w:rPr>
                <w:sz w:val="19"/>
              </w:rPr>
              <w:t>0.26</w:t>
            </w:r>
          </w:p>
        </w:tc>
        <w:tc>
          <w:tcPr>
            <w:tcW w:type="dxa" w:w="1134"/>
            <w:shd w:val="clear" w:color="auto" w:fill="F2F2F2"/>
          </w:tcPr>
          <w:p>
            <w:pPr>
              <w:spacing w:before="40" w:after="40"/>
            </w:pPr>
            <w:r>
              <w:rPr>
                <w:sz w:val="19"/>
              </w:rPr>
              <w:t>0.23</w:t>
            </w:r>
          </w:p>
        </w:tc>
        <w:tc>
          <w:tcPr>
            <w:tcW w:type="dxa" w:w="2551"/>
            <w:shd w:val="clear" w:color="auto" w:fill="F2F2F2"/>
          </w:tcPr>
          <w:p>
            <w:pPr>
              <w:spacing w:before="40" w:after="40"/>
            </w:pPr>
            <w:r>
              <w:rPr>
                <w:sz w:val="19"/>
              </w:rPr>
              <w:t>+0.22</w:t>
            </w:r>
          </w:p>
        </w:tc>
      </w:tr>
    </w:tbl>
    <w:p/>
    <w:p>
      <w:pPr>
        <w:pBdr>
          <w:left w:val="single" w:sz="12" w:space="4" w:color="2E74B5"/>
        </w:pBdr>
        <w:pBdr>
          <w:right w:val="single" w:sz="12" w:space="4" w:color="2E74B5"/>
        </w:pBdr>
        <w:pBdr>
          <w:top w:val="single" w:sz="12" w:space="4" w:color="2E74B5"/>
        </w:pBdr>
        <w:pBdr>
          <w:bottom w:val="single" w:sz="12" w:space="4" w:color="2E74B5"/>
        </w:pBdr>
        <w:spacing w:before="80" w:after="160"/>
        <w:ind w:left="227" w:right="227"/>
      </w:pPr>
      <w:r>
        <w:rPr>
          <w:i/>
          <w:color w:val="2E74B5"/>
          <w:sz w:val="20"/>
        </w:rPr>
        <w:t>📊  Les corrélations linéaires apparaissent faibles car la relation rendement-features est fondamentalement non-linéaire (effets de seuil, interactions). C'est précisément pour cela que XGBoost (gradient boosting sur arbres de décision) est adapté : il capture ces non-linéarités sans hypothèse de forme fonctionnelle.</w:t>
      </w:r>
    </w:p>
    <w:p>
      <w:r>
        <w:br w:type="page"/>
      </w:r>
    </w:p>
    <w:p>
      <w:pPr>
        <w:pStyle w:val="Heading1"/>
        <w:spacing w:before="360" w:after="160"/>
      </w:pPr>
      <w:r>
        <w:rPr>
          <w:color w:val="2E74B5"/>
          <w:sz w:val="32"/>
        </w:rPr>
        <w:t>4. Modèles de machine learning</w:t>
      </w:r>
    </w:p>
    <w:p>
      <w:pPr>
        <w:pStyle w:val="Heading2"/>
        <w:spacing w:before="240" w:after="100"/>
      </w:pPr>
      <w:r>
        <w:rPr>
          <w:color w:val="2F75B6"/>
          <w:sz w:val="26"/>
        </w:rPr>
        <w:t>4.1 Modèle XGBoost — Prédiction de rendement</w:t>
      </w:r>
    </w:p>
    <w:p>
      <w:pPr>
        <w:pStyle w:val="Heading3"/>
        <w:spacing w:before="160" w:after="80"/>
      </w:pPr>
      <w:r>
        <w:rPr>
          <w:b/>
          <w:sz w:val="22"/>
        </w:rPr>
        <w:t>Choix du modèle</w:t>
      </w:r>
    </w:p>
    <w:p>
      <w:pPr>
        <w:spacing w:after="120"/>
        <w:ind w:firstLine="0"/>
      </w:pPr>
      <w:r>
        <w:rPr>
          <w:sz w:val="21"/>
        </w:rPr>
        <w:t>XGBoost (eXtreme Gradient Boosting) a été sélectionné pour la prédiction du rendement agricole pour les raisons suivantes : robustesse face aux relations non-linéaires entre features, gestion native des valeurs manquantes, régularisation intégrée (L1/L2), interprétabilité via SHAP, et performance éprouvée sur des datasets tabulaires structurés.</w:t>
      </w:r>
    </w:p>
    <w:p>
      <w:pPr>
        <w:pStyle w:val="Heading3"/>
        <w:spacing w:before="160" w:after="80"/>
      </w:pPr>
      <w:r>
        <w:rPr>
          <w:b/>
          <w:sz w:val="22"/>
        </w:rPr>
        <w:t>Architecture et hyperparamètres</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1F4E79"/>
            <w:vAlign w:val="center"/>
          </w:tcPr>
          <w:p>
            <w:pPr>
              <w:spacing w:before="60" w:after="60"/>
              <w:jc w:val="center"/>
            </w:pPr>
            <w:r>
              <w:rPr>
                <w:b/>
                <w:color w:val="FFFFFF"/>
                <w:sz w:val="20"/>
              </w:rPr>
              <w:t>Hyperparamètre</w:t>
            </w:r>
          </w:p>
        </w:tc>
        <w:tc>
          <w:tcPr>
            <w:tcW w:type="dxa" w:w="1134"/>
            <w:shd w:val="clear" w:color="auto" w:fill="1F4E79"/>
            <w:vAlign w:val="center"/>
          </w:tcPr>
          <w:p>
            <w:pPr>
              <w:spacing w:before="60" w:after="60"/>
              <w:jc w:val="center"/>
            </w:pPr>
            <w:r>
              <w:rPr>
                <w:b/>
                <w:color w:val="FFFFFF"/>
                <w:sz w:val="20"/>
              </w:rPr>
              <w:t>Valeur</w:t>
            </w:r>
          </w:p>
        </w:tc>
        <w:tc>
          <w:tcPr>
            <w:tcW w:type="dxa" w:w="5669"/>
            <w:shd w:val="clear" w:color="auto" w:fill="1F4E79"/>
            <w:vAlign w:val="center"/>
          </w:tcPr>
          <w:p>
            <w:pPr>
              <w:spacing w:before="60" w:after="60"/>
              <w:jc w:val="center"/>
            </w:pPr>
            <w:r>
              <w:rPr>
                <w:b/>
                <w:color w:val="FFFFFF"/>
                <w:sz w:val="20"/>
              </w:rPr>
              <w:t>Justification</w:t>
            </w:r>
          </w:p>
        </w:tc>
      </w:tr>
      <w:tr>
        <w:tc>
          <w:tcPr>
            <w:tcW w:type="dxa" w:w="1984"/>
            <w:shd w:val="clear" w:color="auto" w:fill="F2F2F2"/>
          </w:tcPr>
          <w:p>
            <w:pPr>
              <w:spacing w:before="40" w:after="40"/>
            </w:pPr>
            <w:r>
              <w:rPr>
                <w:sz w:val="19"/>
              </w:rPr>
              <w:t>n_estimators</w:t>
            </w:r>
          </w:p>
        </w:tc>
        <w:tc>
          <w:tcPr>
            <w:tcW w:type="dxa" w:w="1134"/>
            <w:shd w:val="clear" w:color="auto" w:fill="F2F2F2"/>
          </w:tcPr>
          <w:p>
            <w:pPr>
              <w:spacing w:before="40" w:after="40"/>
            </w:pPr>
            <w:r>
              <w:rPr>
                <w:sz w:val="19"/>
              </w:rPr>
              <w:t>300</w:t>
            </w:r>
          </w:p>
        </w:tc>
        <w:tc>
          <w:tcPr>
            <w:tcW w:type="dxa" w:w="5669"/>
            <w:shd w:val="clear" w:color="auto" w:fill="F2F2F2"/>
          </w:tcPr>
          <w:p>
            <w:pPr>
              <w:spacing w:before="40" w:after="40"/>
            </w:pPr>
            <w:r>
              <w:rPr>
                <w:sz w:val="19"/>
              </w:rPr>
              <w:t>Nombre d'arbres — compromis biais/variance</w:t>
            </w:r>
          </w:p>
        </w:tc>
      </w:tr>
      <w:tr>
        <w:tc>
          <w:tcPr>
            <w:tcW w:type="dxa" w:w="1984"/>
            <w:shd w:val="clear" w:color="auto" w:fill="FFFFFF"/>
          </w:tcPr>
          <w:p>
            <w:pPr>
              <w:spacing w:before="40" w:after="40"/>
            </w:pPr>
            <w:r>
              <w:rPr>
                <w:sz w:val="19"/>
              </w:rPr>
              <w:t>max_depth</w:t>
            </w:r>
          </w:p>
        </w:tc>
        <w:tc>
          <w:tcPr>
            <w:tcW w:type="dxa" w:w="1134"/>
            <w:shd w:val="clear" w:color="auto" w:fill="FFFFFF"/>
          </w:tcPr>
          <w:p>
            <w:pPr>
              <w:spacing w:before="40" w:after="40"/>
            </w:pPr>
            <w:r>
              <w:rPr>
                <w:sz w:val="19"/>
              </w:rPr>
              <w:t>6</w:t>
            </w:r>
          </w:p>
        </w:tc>
        <w:tc>
          <w:tcPr>
            <w:tcW w:type="dxa" w:w="5669"/>
            <w:shd w:val="clear" w:color="auto" w:fill="FFFFFF"/>
          </w:tcPr>
          <w:p>
            <w:pPr>
              <w:spacing w:before="40" w:after="40"/>
            </w:pPr>
            <w:r>
              <w:rPr>
                <w:sz w:val="19"/>
              </w:rPr>
              <w:t>Profondeur max — limite le sur-apprentissage</w:t>
            </w:r>
          </w:p>
        </w:tc>
      </w:tr>
      <w:tr>
        <w:tc>
          <w:tcPr>
            <w:tcW w:type="dxa" w:w="1984"/>
            <w:shd w:val="clear" w:color="auto" w:fill="F2F2F2"/>
          </w:tcPr>
          <w:p>
            <w:pPr>
              <w:spacing w:before="40" w:after="40"/>
            </w:pPr>
            <w:r>
              <w:rPr>
                <w:sz w:val="19"/>
              </w:rPr>
              <w:t>learning_rate</w:t>
            </w:r>
          </w:p>
        </w:tc>
        <w:tc>
          <w:tcPr>
            <w:tcW w:type="dxa" w:w="1134"/>
            <w:shd w:val="clear" w:color="auto" w:fill="F2F2F2"/>
          </w:tcPr>
          <w:p>
            <w:pPr>
              <w:spacing w:before="40" w:after="40"/>
            </w:pPr>
            <w:r>
              <w:rPr>
                <w:sz w:val="19"/>
              </w:rPr>
              <w:t>0.05</w:t>
            </w:r>
          </w:p>
        </w:tc>
        <w:tc>
          <w:tcPr>
            <w:tcW w:type="dxa" w:w="5669"/>
            <w:shd w:val="clear" w:color="auto" w:fill="F2F2F2"/>
          </w:tcPr>
          <w:p>
            <w:pPr>
              <w:spacing w:before="40" w:after="40"/>
            </w:pPr>
            <w:r>
              <w:rPr>
                <w:sz w:val="19"/>
              </w:rPr>
              <w:t>Pas d'apprentissage faible — meilleure généralisation</w:t>
            </w:r>
          </w:p>
        </w:tc>
      </w:tr>
      <w:tr>
        <w:tc>
          <w:tcPr>
            <w:tcW w:type="dxa" w:w="1984"/>
            <w:shd w:val="clear" w:color="auto" w:fill="FFFFFF"/>
          </w:tcPr>
          <w:p>
            <w:pPr>
              <w:spacing w:before="40" w:after="40"/>
            </w:pPr>
            <w:r>
              <w:rPr>
                <w:sz w:val="19"/>
              </w:rPr>
              <w:t>subsample</w:t>
            </w:r>
          </w:p>
        </w:tc>
        <w:tc>
          <w:tcPr>
            <w:tcW w:type="dxa" w:w="1134"/>
            <w:shd w:val="clear" w:color="auto" w:fill="FFFFFF"/>
          </w:tcPr>
          <w:p>
            <w:pPr>
              <w:spacing w:before="40" w:after="40"/>
            </w:pPr>
            <w:r>
              <w:rPr>
                <w:sz w:val="19"/>
              </w:rPr>
              <w:t>0.8</w:t>
            </w:r>
          </w:p>
        </w:tc>
        <w:tc>
          <w:tcPr>
            <w:tcW w:type="dxa" w:w="5669"/>
            <w:shd w:val="clear" w:color="auto" w:fill="FFFFFF"/>
          </w:tcPr>
          <w:p>
            <w:pPr>
              <w:spacing w:before="40" w:after="40"/>
            </w:pPr>
            <w:r>
              <w:rPr>
                <w:sz w:val="19"/>
              </w:rPr>
              <w:t>Sous-échantillonnage lignes — réduction variance</w:t>
            </w:r>
          </w:p>
        </w:tc>
      </w:tr>
      <w:tr>
        <w:tc>
          <w:tcPr>
            <w:tcW w:type="dxa" w:w="1984"/>
            <w:shd w:val="clear" w:color="auto" w:fill="F2F2F2"/>
          </w:tcPr>
          <w:p>
            <w:pPr>
              <w:spacing w:before="40" w:after="40"/>
            </w:pPr>
            <w:r>
              <w:rPr>
                <w:sz w:val="19"/>
              </w:rPr>
              <w:t>colsample_bytree</w:t>
            </w:r>
          </w:p>
        </w:tc>
        <w:tc>
          <w:tcPr>
            <w:tcW w:type="dxa" w:w="1134"/>
            <w:shd w:val="clear" w:color="auto" w:fill="F2F2F2"/>
          </w:tcPr>
          <w:p>
            <w:pPr>
              <w:spacing w:before="40" w:after="40"/>
            </w:pPr>
            <w:r>
              <w:rPr>
                <w:sz w:val="19"/>
              </w:rPr>
              <w:t>0.8</w:t>
            </w:r>
          </w:p>
        </w:tc>
        <w:tc>
          <w:tcPr>
            <w:tcW w:type="dxa" w:w="5669"/>
            <w:shd w:val="clear" w:color="auto" w:fill="F2F2F2"/>
          </w:tcPr>
          <w:p>
            <w:pPr>
              <w:spacing w:before="40" w:after="40"/>
            </w:pPr>
            <w:r>
              <w:rPr>
                <w:sz w:val="19"/>
              </w:rPr>
              <w:t>Sous-échantillonnage features — diversité des arbres</w:t>
            </w:r>
          </w:p>
        </w:tc>
      </w:tr>
      <w:tr>
        <w:tc>
          <w:tcPr>
            <w:tcW w:type="dxa" w:w="1984"/>
            <w:shd w:val="clear" w:color="auto" w:fill="FFFFFF"/>
          </w:tcPr>
          <w:p>
            <w:pPr>
              <w:spacing w:before="40" w:after="40"/>
            </w:pPr>
            <w:r>
              <w:rPr>
                <w:sz w:val="19"/>
              </w:rPr>
              <w:t>min_child_weight</w:t>
            </w:r>
          </w:p>
        </w:tc>
        <w:tc>
          <w:tcPr>
            <w:tcW w:type="dxa" w:w="1134"/>
            <w:shd w:val="clear" w:color="auto" w:fill="FFFFFF"/>
          </w:tcPr>
          <w:p>
            <w:pPr>
              <w:spacing w:before="40" w:after="40"/>
            </w:pPr>
            <w:r>
              <w:rPr>
                <w:sz w:val="19"/>
              </w:rPr>
              <w:t>3</w:t>
            </w:r>
          </w:p>
        </w:tc>
        <w:tc>
          <w:tcPr>
            <w:tcW w:type="dxa" w:w="5669"/>
            <w:shd w:val="clear" w:color="auto" w:fill="FFFFFF"/>
          </w:tcPr>
          <w:p>
            <w:pPr>
              <w:spacing w:before="40" w:after="40"/>
            </w:pPr>
            <w:r>
              <w:rPr>
                <w:sz w:val="19"/>
              </w:rPr>
              <w:t>Régularisation sur la taille des feuilles</w:t>
            </w:r>
          </w:p>
        </w:tc>
      </w:tr>
      <w:tr>
        <w:tc>
          <w:tcPr>
            <w:tcW w:type="dxa" w:w="1984"/>
            <w:shd w:val="clear" w:color="auto" w:fill="F2F2F2"/>
          </w:tcPr>
          <w:p>
            <w:pPr>
              <w:spacing w:before="40" w:after="40"/>
            </w:pPr>
            <w:r>
              <w:rPr>
                <w:sz w:val="19"/>
              </w:rPr>
              <w:t>reg_alpha (L1)</w:t>
            </w:r>
          </w:p>
        </w:tc>
        <w:tc>
          <w:tcPr>
            <w:tcW w:type="dxa" w:w="1134"/>
            <w:shd w:val="clear" w:color="auto" w:fill="F2F2F2"/>
          </w:tcPr>
          <w:p>
            <w:pPr>
              <w:spacing w:before="40" w:after="40"/>
            </w:pPr>
            <w:r>
              <w:rPr>
                <w:sz w:val="19"/>
              </w:rPr>
              <w:t>0.1</w:t>
            </w:r>
          </w:p>
        </w:tc>
        <w:tc>
          <w:tcPr>
            <w:tcW w:type="dxa" w:w="5669"/>
            <w:shd w:val="clear" w:color="auto" w:fill="F2F2F2"/>
          </w:tcPr>
          <w:p>
            <w:pPr>
              <w:spacing w:before="40" w:after="40"/>
            </w:pPr>
            <w:r>
              <w:rPr>
                <w:sz w:val="19"/>
              </w:rPr>
              <w:t>Parcimonie — sélection de features implicite</w:t>
            </w:r>
          </w:p>
        </w:tc>
      </w:tr>
      <w:tr>
        <w:tc>
          <w:tcPr>
            <w:tcW w:type="dxa" w:w="1984"/>
            <w:shd w:val="clear" w:color="auto" w:fill="FFFFFF"/>
          </w:tcPr>
          <w:p>
            <w:pPr>
              <w:spacing w:before="40" w:after="40"/>
            </w:pPr>
            <w:r>
              <w:rPr>
                <w:sz w:val="19"/>
              </w:rPr>
              <w:t>reg_lambda (L2)</w:t>
            </w:r>
          </w:p>
        </w:tc>
        <w:tc>
          <w:tcPr>
            <w:tcW w:type="dxa" w:w="1134"/>
            <w:shd w:val="clear" w:color="auto" w:fill="FFFFFF"/>
          </w:tcPr>
          <w:p>
            <w:pPr>
              <w:spacing w:before="40" w:after="40"/>
            </w:pPr>
            <w:r>
              <w:rPr>
                <w:sz w:val="19"/>
              </w:rPr>
              <w:t>1.0</w:t>
            </w:r>
          </w:p>
        </w:tc>
        <w:tc>
          <w:tcPr>
            <w:tcW w:type="dxa" w:w="5669"/>
            <w:shd w:val="clear" w:color="auto" w:fill="FFFFFF"/>
          </w:tcPr>
          <w:p>
            <w:pPr>
              <w:spacing w:before="40" w:after="40"/>
            </w:pPr>
            <w:r>
              <w:rPr>
                <w:sz w:val="19"/>
              </w:rPr>
              <w:t>Shrinkage — prévention sur-apprentissage</w:t>
            </w:r>
          </w:p>
        </w:tc>
      </w:tr>
      <w:tr>
        <w:tc>
          <w:tcPr>
            <w:tcW w:type="dxa" w:w="1984"/>
            <w:shd w:val="clear" w:color="auto" w:fill="F2F2F2"/>
          </w:tcPr>
          <w:p>
            <w:pPr>
              <w:spacing w:before="40" w:after="40"/>
            </w:pPr>
            <w:r>
              <w:rPr>
                <w:sz w:val="19"/>
              </w:rPr>
              <w:t>random_state</w:t>
            </w:r>
          </w:p>
        </w:tc>
        <w:tc>
          <w:tcPr>
            <w:tcW w:type="dxa" w:w="1134"/>
            <w:shd w:val="clear" w:color="auto" w:fill="F2F2F2"/>
          </w:tcPr>
          <w:p>
            <w:pPr>
              <w:spacing w:before="40" w:after="40"/>
            </w:pPr>
            <w:r>
              <w:rPr>
                <w:sz w:val="19"/>
              </w:rPr>
              <w:t>42</w:t>
            </w:r>
          </w:p>
        </w:tc>
        <w:tc>
          <w:tcPr>
            <w:tcW w:type="dxa" w:w="5669"/>
            <w:shd w:val="clear" w:color="auto" w:fill="F2F2F2"/>
          </w:tcPr>
          <w:p>
            <w:pPr>
              <w:spacing w:before="40" w:after="40"/>
            </w:pPr>
            <w:r>
              <w:rPr>
                <w:sz w:val="19"/>
              </w:rPr>
              <w:t>Reproductibilité</w:t>
            </w:r>
          </w:p>
        </w:tc>
      </w:tr>
    </w:tbl>
    <w:p/>
    <w:p>
      <w:pPr>
        <w:pStyle w:val="Heading3"/>
        <w:spacing w:before="160" w:after="80"/>
      </w:pPr>
      <w:r>
        <w:rPr>
          <w:b/>
          <w:sz w:val="22"/>
        </w:rPr>
        <w:t>Features d'entrée (13 variables)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814"/>
            <w:shd w:val="clear" w:color="auto" w:fill="1F4E79"/>
            <w:vAlign w:val="center"/>
          </w:tcPr>
          <w:p>
            <w:pPr>
              <w:spacing w:before="60" w:after="60"/>
              <w:jc w:val="center"/>
            </w:pPr>
            <w:r>
              <w:rPr>
                <w:b/>
                <w:color w:val="FFFFFF"/>
                <w:sz w:val="20"/>
              </w:rPr>
              <w:t>Feature</w:t>
            </w:r>
          </w:p>
        </w:tc>
        <w:tc>
          <w:tcPr>
            <w:tcW w:type="dxa" w:w="1587"/>
            <w:shd w:val="clear" w:color="auto" w:fill="1F4E79"/>
            <w:vAlign w:val="center"/>
          </w:tcPr>
          <w:p>
            <w:pPr>
              <w:spacing w:before="60" w:after="60"/>
              <w:jc w:val="center"/>
            </w:pPr>
            <w:r>
              <w:rPr>
                <w:b/>
                <w:color w:val="FFFFFF"/>
                <w:sz w:val="20"/>
              </w:rPr>
              <w:t>Type</w:t>
            </w:r>
          </w:p>
        </w:tc>
        <w:tc>
          <w:tcPr>
            <w:tcW w:type="dxa" w:w="1134"/>
            <w:shd w:val="clear" w:color="auto" w:fill="1F4E79"/>
            <w:vAlign w:val="center"/>
          </w:tcPr>
          <w:p>
            <w:pPr>
              <w:spacing w:before="60" w:after="60"/>
              <w:jc w:val="center"/>
            </w:pPr>
            <w:r>
              <w:rPr>
                <w:b/>
                <w:color w:val="FFFFFF"/>
                <w:sz w:val="20"/>
              </w:rPr>
              <w:t>Source</w:t>
            </w:r>
          </w:p>
        </w:tc>
        <w:tc>
          <w:tcPr>
            <w:tcW w:type="dxa" w:w="4252"/>
            <w:shd w:val="clear" w:color="auto" w:fill="1F4E79"/>
            <w:vAlign w:val="center"/>
          </w:tcPr>
          <w:p>
            <w:pPr>
              <w:spacing w:before="60" w:after="60"/>
              <w:jc w:val="center"/>
            </w:pPr>
            <w:r>
              <w:rPr>
                <w:b/>
                <w:color w:val="FFFFFF"/>
                <w:sz w:val="20"/>
              </w:rPr>
              <w:t>Description</w:t>
            </w:r>
          </w:p>
        </w:tc>
      </w:tr>
      <w:tr>
        <w:tc>
          <w:tcPr>
            <w:tcW w:type="dxa" w:w="1814"/>
            <w:shd w:val="clear" w:color="auto" w:fill="F2F2F2"/>
          </w:tcPr>
          <w:p>
            <w:pPr>
              <w:spacing w:before="40" w:after="40"/>
            </w:pPr>
            <w:r>
              <w:rPr>
                <w:sz w:val="19"/>
              </w:rPr>
              <w:t>crop_encoded</w:t>
            </w:r>
          </w:p>
        </w:tc>
        <w:tc>
          <w:tcPr>
            <w:tcW w:type="dxa" w:w="1587"/>
            <w:shd w:val="clear" w:color="auto" w:fill="F2F2F2"/>
          </w:tcPr>
          <w:p>
            <w:pPr>
              <w:spacing w:before="40" w:after="40"/>
            </w:pPr>
            <w:r>
              <w:rPr>
                <w:sz w:val="19"/>
              </w:rPr>
              <w:t>Catégorielle encodée</w:t>
            </w:r>
          </w:p>
        </w:tc>
        <w:tc>
          <w:tcPr>
            <w:tcW w:type="dxa" w:w="1134"/>
            <w:shd w:val="clear" w:color="auto" w:fill="F2F2F2"/>
          </w:tcPr>
          <w:p>
            <w:pPr>
              <w:spacing w:before="40" w:after="40"/>
            </w:pPr>
            <w:r>
              <w:rPr>
                <w:sz w:val="19"/>
              </w:rPr>
              <w:t>Parcelle</w:t>
            </w:r>
          </w:p>
        </w:tc>
        <w:tc>
          <w:tcPr>
            <w:tcW w:type="dxa" w:w="4252"/>
            <w:shd w:val="clear" w:color="auto" w:fill="F2F2F2"/>
          </w:tcPr>
          <w:p>
            <w:pPr>
              <w:spacing w:before="40" w:after="40"/>
            </w:pPr>
            <w:r>
              <w:rPr>
                <w:sz w:val="19"/>
              </w:rPr>
              <w:t>Type de culture (0–4, LabelEncoder)</w:t>
            </w:r>
          </w:p>
        </w:tc>
      </w:tr>
      <w:tr>
        <w:tc>
          <w:tcPr>
            <w:tcW w:type="dxa" w:w="1814"/>
            <w:shd w:val="clear" w:color="auto" w:fill="FFFFFF"/>
          </w:tcPr>
          <w:p>
            <w:pPr>
              <w:spacing w:before="40" w:after="40"/>
            </w:pPr>
            <w:r>
              <w:rPr>
                <w:sz w:val="19"/>
              </w:rPr>
              <w:t>year</w:t>
            </w:r>
          </w:p>
        </w:tc>
        <w:tc>
          <w:tcPr>
            <w:tcW w:type="dxa" w:w="1587"/>
            <w:shd w:val="clear" w:color="auto" w:fill="FFFFFF"/>
          </w:tcPr>
          <w:p>
            <w:pPr>
              <w:spacing w:before="40" w:after="40"/>
            </w:pPr>
            <w:r>
              <w:rPr>
                <w:sz w:val="19"/>
              </w:rPr>
              <w:t>Temporelle</w:t>
            </w:r>
          </w:p>
        </w:tc>
        <w:tc>
          <w:tcPr>
            <w:tcW w:type="dxa" w:w="1134"/>
            <w:shd w:val="clear" w:color="auto" w:fill="FFFFFF"/>
          </w:tcPr>
          <w:p>
            <w:pPr>
              <w:spacing w:before="40" w:after="40"/>
            </w:pPr>
            <w:r>
              <w:rPr>
                <w:sz w:val="19"/>
              </w:rPr>
              <w:t>Relevé</w:t>
            </w:r>
          </w:p>
        </w:tc>
        <w:tc>
          <w:tcPr>
            <w:tcW w:type="dxa" w:w="4252"/>
            <w:shd w:val="clear" w:color="auto" w:fill="FFFFFF"/>
          </w:tcPr>
          <w:p>
            <w:pPr>
              <w:spacing w:before="40" w:after="40"/>
            </w:pPr>
            <w:r>
              <w:rPr>
                <w:sz w:val="19"/>
              </w:rPr>
              <w:t>Année du relevé (2010–2016)</w:t>
            </w:r>
          </w:p>
        </w:tc>
      </w:tr>
      <w:tr>
        <w:tc>
          <w:tcPr>
            <w:tcW w:type="dxa" w:w="1814"/>
            <w:shd w:val="clear" w:color="auto" w:fill="F2F2F2"/>
          </w:tcPr>
          <w:p>
            <w:pPr>
              <w:spacing w:before="40" w:after="40"/>
            </w:pPr>
            <w:r>
              <w:rPr>
                <w:sz w:val="19"/>
              </w:rPr>
              <w:t>soil_moisture</w:t>
            </w:r>
          </w:p>
        </w:tc>
        <w:tc>
          <w:tcPr>
            <w:tcW w:type="dxa" w:w="1587"/>
            <w:shd w:val="clear" w:color="auto" w:fill="F2F2F2"/>
          </w:tcPr>
          <w:p>
            <w:pPr>
              <w:spacing w:before="40" w:after="40"/>
            </w:pPr>
            <w:r>
              <w:rPr>
                <w:sz w:val="19"/>
              </w:rPr>
              <w:t>Continue</w:t>
            </w:r>
          </w:p>
        </w:tc>
        <w:tc>
          <w:tcPr>
            <w:tcW w:type="dxa" w:w="1134"/>
            <w:shd w:val="clear" w:color="auto" w:fill="F2F2F2"/>
          </w:tcPr>
          <w:p>
            <w:pPr>
              <w:spacing w:before="40" w:after="40"/>
            </w:pPr>
            <w:r>
              <w:rPr>
                <w:sz w:val="19"/>
              </w:rPr>
              <w:t>Capteur</w:t>
            </w:r>
          </w:p>
        </w:tc>
        <w:tc>
          <w:tcPr>
            <w:tcW w:type="dxa" w:w="4252"/>
            <w:shd w:val="clear" w:color="auto" w:fill="F2F2F2"/>
          </w:tcPr>
          <w:p>
            <w:pPr>
              <w:spacing w:before="40" w:after="40"/>
            </w:pPr>
            <w:r>
              <w:rPr>
                <w:sz w:val="19"/>
              </w:rPr>
              <w:t>Humidité volumétrique du sol [0–1]</w:t>
            </w:r>
          </w:p>
        </w:tc>
      </w:tr>
      <w:tr>
        <w:tc>
          <w:tcPr>
            <w:tcW w:type="dxa" w:w="1814"/>
            <w:shd w:val="clear" w:color="auto" w:fill="FFFFFF"/>
          </w:tcPr>
          <w:p>
            <w:pPr>
              <w:spacing w:before="40" w:after="40"/>
            </w:pPr>
            <w:r>
              <w:rPr>
                <w:sz w:val="19"/>
              </w:rPr>
              <w:t>soil_ph</w:t>
            </w:r>
          </w:p>
        </w:tc>
        <w:tc>
          <w:tcPr>
            <w:tcW w:type="dxa" w:w="1587"/>
            <w:shd w:val="clear" w:color="auto" w:fill="FFFFFF"/>
          </w:tcPr>
          <w:p>
            <w:pPr>
              <w:spacing w:before="40" w:after="40"/>
            </w:pPr>
            <w:r>
              <w:rPr>
                <w:sz w:val="19"/>
              </w:rPr>
              <w:t>Continue</w:t>
            </w:r>
          </w:p>
        </w:tc>
        <w:tc>
          <w:tcPr>
            <w:tcW w:type="dxa" w:w="1134"/>
            <w:shd w:val="clear" w:color="auto" w:fill="FFFFFF"/>
          </w:tcPr>
          <w:p>
            <w:pPr>
              <w:spacing w:before="40" w:after="40"/>
            </w:pPr>
            <w:r>
              <w:rPr>
                <w:sz w:val="19"/>
              </w:rPr>
              <w:t>Capteur</w:t>
            </w:r>
          </w:p>
        </w:tc>
        <w:tc>
          <w:tcPr>
            <w:tcW w:type="dxa" w:w="4252"/>
            <w:shd w:val="clear" w:color="auto" w:fill="FFFFFF"/>
          </w:tcPr>
          <w:p>
            <w:pPr>
              <w:spacing w:before="40" w:after="40"/>
            </w:pPr>
            <w:r>
              <w:rPr>
                <w:sz w:val="19"/>
              </w:rPr>
              <w:t>pH du sol (6.5 = optimal)</w:t>
            </w:r>
          </w:p>
        </w:tc>
      </w:tr>
      <w:tr>
        <w:tc>
          <w:tcPr>
            <w:tcW w:type="dxa" w:w="1814"/>
            <w:shd w:val="clear" w:color="auto" w:fill="F2F2F2"/>
          </w:tcPr>
          <w:p>
            <w:pPr>
              <w:spacing w:before="40" w:after="40"/>
            </w:pPr>
            <w:r>
              <w:rPr>
                <w:sz w:val="19"/>
              </w:rPr>
              <w:t>nitrogen_ppm</w:t>
            </w:r>
          </w:p>
        </w:tc>
        <w:tc>
          <w:tcPr>
            <w:tcW w:type="dxa" w:w="1587"/>
            <w:shd w:val="clear" w:color="auto" w:fill="F2F2F2"/>
          </w:tcPr>
          <w:p>
            <w:pPr>
              <w:spacing w:before="40" w:after="40"/>
            </w:pPr>
            <w:r>
              <w:rPr>
                <w:sz w:val="19"/>
              </w:rPr>
              <w:t>Continue</w:t>
            </w:r>
          </w:p>
        </w:tc>
        <w:tc>
          <w:tcPr>
            <w:tcW w:type="dxa" w:w="1134"/>
            <w:shd w:val="clear" w:color="auto" w:fill="F2F2F2"/>
          </w:tcPr>
          <w:p>
            <w:pPr>
              <w:spacing w:before="40" w:after="40"/>
            </w:pPr>
            <w:r>
              <w:rPr>
                <w:sz w:val="19"/>
              </w:rPr>
              <w:t>Capteur</w:t>
            </w:r>
          </w:p>
        </w:tc>
        <w:tc>
          <w:tcPr>
            <w:tcW w:type="dxa" w:w="4252"/>
            <w:shd w:val="clear" w:color="auto" w:fill="F2F2F2"/>
          </w:tcPr>
          <w:p>
            <w:pPr>
              <w:spacing w:before="40" w:after="40"/>
            </w:pPr>
            <w:r>
              <w:rPr>
                <w:sz w:val="19"/>
              </w:rPr>
              <w:t>Teneur en azote disponible (ppm)</w:t>
            </w:r>
          </w:p>
        </w:tc>
      </w:tr>
      <w:tr>
        <w:tc>
          <w:tcPr>
            <w:tcW w:type="dxa" w:w="1814"/>
            <w:shd w:val="clear" w:color="auto" w:fill="FFFFFF"/>
          </w:tcPr>
          <w:p>
            <w:pPr>
              <w:spacing w:before="40" w:after="40"/>
            </w:pPr>
            <w:r>
              <w:rPr>
                <w:sz w:val="19"/>
              </w:rPr>
              <w:t>air_temp_c</w:t>
            </w:r>
          </w:p>
        </w:tc>
        <w:tc>
          <w:tcPr>
            <w:tcW w:type="dxa" w:w="1587"/>
            <w:shd w:val="clear" w:color="auto" w:fill="FFFFFF"/>
          </w:tcPr>
          <w:p>
            <w:pPr>
              <w:spacing w:before="40" w:after="40"/>
            </w:pPr>
            <w:r>
              <w:rPr>
                <w:sz w:val="19"/>
              </w:rPr>
              <w:t>Continue</w:t>
            </w:r>
          </w:p>
        </w:tc>
        <w:tc>
          <w:tcPr>
            <w:tcW w:type="dxa" w:w="1134"/>
            <w:shd w:val="clear" w:color="auto" w:fill="FFFFFF"/>
          </w:tcPr>
          <w:p>
            <w:pPr>
              <w:spacing w:before="40" w:after="40"/>
            </w:pPr>
            <w:r>
              <w:rPr>
                <w:sz w:val="19"/>
              </w:rPr>
              <w:t>Capteur</w:t>
            </w:r>
          </w:p>
        </w:tc>
        <w:tc>
          <w:tcPr>
            <w:tcW w:type="dxa" w:w="4252"/>
            <w:shd w:val="clear" w:color="auto" w:fill="FFFFFF"/>
          </w:tcPr>
          <w:p>
            <w:pPr>
              <w:spacing w:before="40" w:after="40"/>
            </w:pPr>
            <w:r>
              <w:rPr>
                <w:sz w:val="19"/>
              </w:rPr>
              <w:t>Température de l'air (°C)</w:t>
            </w:r>
          </w:p>
        </w:tc>
      </w:tr>
      <w:tr>
        <w:tc>
          <w:tcPr>
            <w:tcW w:type="dxa" w:w="1814"/>
            <w:shd w:val="clear" w:color="auto" w:fill="F2F2F2"/>
          </w:tcPr>
          <w:p>
            <w:pPr>
              <w:spacing w:before="40" w:after="40"/>
            </w:pPr>
            <w:r>
              <w:rPr>
                <w:sz w:val="19"/>
              </w:rPr>
              <w:t>humidity_pct</w:t>
            </w:r>
          </w:p>
        </w:tc>
        <w:tc>
          <w:tcPr>
            <w:tcW w:type="dxa" w:w="1587"/>
            <w:shd w:val="clear" w:color="auto" w:fill="F2F2F2"/>
          </w:tcPr>
          <w:p>
            <w:pPr>
              <w:spacing w:before="40" w:after="40"/>
            </w:pPr>
            <w:r>
              <w:rPr>
                <w:sz w:val="19"/>
              </w:rPr>
              <w:t>Continue</w:t>
            </w:r>
          </w:p>
        </w:tc>
        <w:tc>
          <w:tcPr>
            <w:tcW w:type="dxa" w:w="1134"/>
            <w:shd w:val="clear" w:color="auto" w:fill="F2F2F2"/>
          </w:tcPr>
          <w:p>
            <w:pPr>
              <w:spacing w:before="40" w:after="40"/>
            </w:pPr>
            <w:r>
              <w:rPr>
                <w:sz w:val="19"/>
              </w:rPr>
              <w:t>Capteur</w:t>
            </w:r>
          </w:p>
        </w:tc>
        <w:tc>
          <w:tcPr>
            <w:tcW w:type="dxa" w:w="4252"/>
            <w:shd w:val="clear" w:color="auto" w:fill="F2F2F2"/>
          </w:tcPr>
          <w:p>
            <w:pPr>
              <w:spacing w:before="40" w:after="40"/>
            </w:pPr>
            <w:r>
              <w:rPr>
                <w:sz w:val="19"/>
              </w:rPr>
              <w:t>Humidité relative de l'air (%)</w:t>
            </w:r>
          </w:p>
        </w:tc>
      </w:tr>
      <w:tr>
        <w:tc>
          <w:tcPr>
            <w:tcW w:type="dxa" w:w="1814"/>
            <w:shd w:val="clear" w:color="auto" w:fill="FFFFFF"/>
          </w:tcPr>
          <w:p>
            <w:pPr>
              <w:spacing w:before="40" w:after="40"/>
            </w:pPr>
            <w:r>
              <w:rPr>
                <w:sz w:val="19"/>
              </w:rPr>
              <w:t>rainfall_mm</w:t>
            </w:r>
          </w:p>
        </w:tc>
        <w:tc>
          <w:tcPr>
            <w:tcW w:type="dxa" w:w="1587"/>
            <w:shd w:val="clear" w:color="auto" w:fill="FFFFFF"/>
          </w:tcPr>
          <w:p>
            <w:pPr>
              <w:spacing w:before="40" w:after="40"/>
            </w:pPr>
            <w:r>
              <w:rPr>
                <w:sz w:val="19"/>
              </w:rPr>
              <w:t>Continue</w:t>
            </w:r>
          </w:p>
        </w:tc>
        <w:tc>
          <w:tcPr>
            <w:tcW w:type="dxa" w:w="1134"/>
            <w:shd w:val="clear" w:color="auto" w:fill="FFFFFF"/>
          </w:tcPr>
          <w:p>
            <w:pPr>
              <w:spacing w:before="40" w:after="40"/>
            </w:pPr>
            <w:r>
              <w:rPr>
                <w:sz w:val="19"/>
              </w:rPr>
              <w:t>Capteur</w:t>
            </w:r>
          </w:p>
        </w:tc>
        <w:tc>
          <w:tcPr>
            <w:tcW w:type="dxa" w:w="4252"/>
            <w:shd w:val="clear" w:color="auto" w:fill="FFFFFF"/>
          </w:tcPr>
          <w:p>
            <w:pPr>
              <w:spacing w:before="40" w:after="40"/>
            </w:pPr>
            <w:r>
              <w:rPr>
                <w:sz w:val="19"/>
              </w:rPr>
              <w:t>Pluviométrie cumulée (mm)</w:t>
            </w:r>
          </w:p>
        </w:tc>
      </w:tr>
      <w:tr>
        <w:tc>
          <w:tcPr>
            <w:tcW w:type="dxa" w:w="1814"/>
            <w:shd w:val="clear" w:color="auto" w:fill="F2F2F2"/>
          </w:tcPr>
          <w:p>
            <w:pPr>
              <w:spacing w:before="40" w:after="40"/>
            </w:pPr>
            <w:r>
              <w:rPr>
                <w:sz w:val="19"/>
              </w:rPr>
              <w:t>solar_rad_wm2</w:t>
            </w:r>
          </w:p>
        </w:tc>
        <w:tc>
          <w:tcPr>
            <w:tcW w:type="dxa" w:w="1587"/>
            <w:shd w:val="clear" w:color="auto" w:fill="F2F2F2"/>
          </w:tcPr>
          <w:p>
            <w:pPr>
              <w:spacing w:before="40" w:after="40"/>
            </w:pPr>
            <w:r>
              <w:rPr>
                <w:sz w:val="19"/>
              </w:rPr>
              <w:t>Continue</w:t>
            </w:r>
          </w:p>
        </w:tc>
        <w:tc>
          <w:tcPr>
            <w:tcW w:type="dxa" w:w="1134"/>
            <w:shd w:val="clear" w:color="auto" w:fill="F2F2F2"/>
          </w:tcPr>
          <w:p>
            <w:pPr>
              <w:spacing w:before="40" w:after="40"/>
            </w:pPr>
            <w:r>
              <w:rPr>
                <w:sz w:val="19"/>
              </w:rPr>
              <w:t>Capteur</w:t>
            </w:r>
          </w:p>
        </w:tc>
        <w:tc>
          <w:tcPr>
            <w:tcW w:type="dxa" w:w="4252"/>
            <w:shd w:val="clear" w:color="auto" w:fill="F2F2F2"/>
          </w:tcPr>
          <w:p>
            <w:pPr>
              <w:spacing w:before="40" w:after="40"/>
            </w:pPr>
            <w:r>
              <w:rPr>
                <w:sz w:val="19"/>
              </w:rPr>
              <w:t>Rayonnement solaire (W/m²)</w:t>
            </w:r>
          </w:p>
        </w:tc>
      </w:tr>
      <w:tr>
        <w:tc>
          <w:tcPr>
            <w:tcW w:type="dxa" w:w="1814"/>
            <w:shd w:val="clear" w:color="auto" w:fill="FFFFFF"/>
          </w:tcPr>
          <w:p>
            <w:pPr>
              <w:spacing w:before="40" w:after="40"/>
            </w:pPr>
            <w:r>
              <w:rPr>
                <w:sz w:val="19"/>
              </w:rPr>
              <w:t>value_tonnes</w:t>
            </w:r>
          </w:p>
        </w:tc>
        <w:tc>
          <w:tcPr>
            <w:tcW w:type="dxa" w:w="1587"/>
            <w:shd w:val="clear" w:color="auto" w:fill="FFFFFF"/>
          </w:tcPr>
          <w:p>
            <w:pPr>
              <w:spacing w:before="40" w:after="40"/>
            </w:pPr>
            <w:r>
              <w:rPr>
                <w:sz w:val="19"/>
              </w:rPr>
              <w:t>Continue</w:t>
            </w:r>
          </w:p>
        </w:tc>
        <w:tc>
          <w:tcPr>
            <w:tcW w:type="dxa" w:w="1134"/>
            <w:shd w:val="clear" w:color="auto" w:fill="FFFFFF"/>
          </w:tcPr>
          <w:p>
            <w:pPr>
              <w:spacing w:before="40" w:after="40"/>
            </w:pPr>
            <w:r>
              <w:rPr>
                <w:sz w:val="19"/>
              </w:rPr>
              <w:t>FAO/Spark</w:t>
            </w:r>
          </w:p>
        </w:tc>
        <w:tc>
          <w:tcPr>
            <w:tcW w:type="dxa" w:w="4252"/>
            <w:shd w:val="clear" w:color="auto" w:fill="FFFFFF"/>
          </w:tcPr>
          <w:p>
            <w:pPr>
              <w:spacing w:before="40" w:after="40"/>
            </w:pPr>
            <w:r>
              <w:rPr>
                <w:sz w:val="19"/>
              </w:rPr>
              <w:t>Utilisation totale de pesticides (t)</w:t>
            </w:r>
          </w:p>
        </w:tc>
      </w:tr>
      <w:tr>
        <w:tc>
          <w:tcPr>
            <w:tcW w:type="dxa" w:w="1814"/>
            <w:shd w:val="clear" w:color="auto" w:fill="F2F2F2"/>
          </w:tcPr>
          <w:p>
            <w:pPr>
              <w:spacing w:before="40" w:after="40"/>
            </w:pPr>
            <w:r>
              <w:rPr>
                <w:sz w:val="19"/>
              </w:rPr>
              <w:t>yoy_growth_pct</w:t>
            </w:r>
          </w:p>
        </w:tc>
        <w:tc>
          <w:tcPr>
            <w:tcW w:type="dxa" w:w="1587"/>
            <w:shd w:val="clear" w:color="auto" w:fill="F2F2F2"/>
          </w:tcPr>
          <w:p>
            <w:pPr>
              <w:spacing w:before="40" w:after="40"/>
            </w:pPr>
            <w:r>
              <w:rPr>
                <w:sz w:val="19"/>
              </w:rPr>
              <w:t>Continue</w:t>
            </w:r>
          </w:p>
        </w:tc>
        <w:tc>
          <w:tcPr>
            <w:tcW w:type="dxa" w:w="1134"/>
            <w:shd w:val="clear" w:color="auto" w:fill="F2F2F2"/>
          </w:tcPr>
          <w:p>
            <w:pPr>
              <w:spacing w:before="40" w:after="40"/>
            </w:pPr>
            <w:r>
              <w:rPr>
                <w:sz w:val="19"/>
              </w:rPr>
              <w:t>Spark</w:t>
            </w:r>
          </w:p>
        </w:tc>
        <w:tc>
          <w:tcPr>
            <w:tcW w:type="dxa" w:w="4252"/>
            <w:shd w:val="clear" w:color="auto" w:fill="F2F2F2"/>
          </w:tcPr>
          <w:p>
            <w:pPr>
              <w:spacing w:before="40" w:after="40"/>
            </w:pPr>
            <w:r>
              <w:rPr>
                <w:sz w:val="19"/>
              </w:rPr>
              <w:t>Croissance annuelle pesticides (%)</w:t>
            </w:r>
          </w:p>
        </w:tc>
      </w:tr>
      <w:tr>
        <w:tc>
          <w:tcPr>
            <w:tcW w:type="dxa" w:w="1814"/>
            <w:shd w:val="clear" w:color="auto" w:fill="FFFFFF"/>
          </w:tcPr>
          <w:p>
            <w:pPr>
              <w:spacing w:before="40" w:after="40"/>
            </w:pPr>
            <w:r>
              <w:rPr>
                <w:sz w:val="19"/>
              </w:rPr>
              <w:t>ma5_tonnes</w:t>
            </w:r>
          </w:p>
        </w:tc>
        <w:tc>
          <w:tcPr>
            <w:tcW w:type="dxa" w:w="1587"/>
            <w:shd w:val="clear" w:color="auto" w:fill="FFFFFF"/>
          </w:tcPr>
          <w:p>
            <w:pPr>
              <w:spacing w:before="40" w:after="40"/>
            </w:pPr>
            <w:r>
              <w:rPr>
                <w:sz w:val="19"/>
              </w:rPr>
              <w:t>Continue</w:t>
            </w:r>
          </w:p>
        </w:tc>
        <w:tc>
          <w:tcPr>
            <w:tcW w:type="dxa" w:w="1134"/>
            <w:shd w:val="clear" w:color="auto" w:fill="FFFFFF"/>
          </w:tcPr>
          <w:p>
            <w:pPr>
              <w:spacing w:before="40" w:after="40"/>
            </w:pPr>
            <w:r>
              <w:rPr>
                <w:sz w:val="19"/>
              </w:rPr>
              <w:t>Spark</w:t>
            </w:r>
          </w:p>
        </w:tc>
        <w:tc>
          <w:tcPr>
            <w:tcW w:type="dxa" w:w="4252"/>
            <w:shd w:val="clear" w:color="auto" w:fill="FFFFFF"/>
          </w:tcPr>
          <w:p>
            <w:pPr>
              <w:spacing w:before="40" w:after="40"/>
            </w:pPr>
            <w:r>
              <w:rPr>
                <w:sz w:val="19"/>
              </w:rPr>
              <w:t>Moyenne mobile 5 ans pesticides</w:t>
            </w:r>
          </w:p>
        </w:tc>
      </w:tr>
      <w:tr>
        <w:tc>
          <w:tcPr>
            <w:tcW w:type="dxa" w:w="1814"/>
            <w:shd w:val="clear" w:color="auto" w:fill="F2F2F2"/>
          </w:tcPr>
          <w:p>
            <w:pPr>
              <w:spacing w:before="40" w:after="40"/>
            </w:pPr>
            <w:r>
              <w:rPr>
                <w:sz w:val="19"/>
              </w:rPr>
              <w:t>value_normalized</w:t>
            </w:r>
          </w:p>
        </w:tc>
        <w:tc>
          <w:tcPr>
            <w:tcW w:type="dxa" w:w="1587"/>
            <w:shd w:val="clear" w:color="auto" w:fill="F2F2F2"/>
          </w:tcPr>
          <w:p>
            <w:pPr>
              <w:spacing w:before="40" w:after="40"/>
            </w:pPr>
            <w:r>
              <w:rPr>
                <w:sz w:val="19"/>
              </w:rPr>
              <w:t>Continue</w:t>
            </w:r>
          </w:p>
        </w:tc>
        <w:tc>
          <w:tcPr>
            <w:tcW w:type="dxa" w:w="1134"/>
            <w:shd w:val="clear" w:color="auto" w:fill="F2F2F2"/>
          </w:tcPr>
          <w:p>
            <w:pPr>
              <w:spacing w:before="40" w:after="40"/>
            </w:pPr>
            <w:r>
              <w:rPr>
                <w:sz w:val="19"/>
              </w:rPr>
              <w:t>Spark</w:t>
            </w:r>
          </w:p>
        </w:tc>
        <w:tc>
          <w:tcPr>
            <w:tcW w:type="dxa" w:w="4252"/>
            <w:shd w:val="clear" w:color="auto" w:fill="F2F2F2"/>
          </w:tcPr>
          <w:p>
            <w:pPr>
              <w:spacing w:before="40" w:after="40"/>
            </w:pPr>
            <w:r>
              <w:rPr>
                <w:sz w:val="19"/>
              </w:rPr>
              <w:t>Pesticides normalisés [0–1]</w:t>
            </w:r>
          </w:p>
        </w:tc>
      </w:tr>
    </w:tbl>
    <w:p/>
    <w:p>
      <w:pPr>
        <w:pStyle w:val="Heading3"/>
        <w:spacing w:before="160" w:after="80"/>
      </w:pPr>
      <w:r>
        <w:rPr>
          <w:b/>
          <w:sz w:val="22"/>
        </w:rPr>
        <w:t>Résultats de performance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1F4E79"/>
            <w:vAlign w:val="center"/>
          </w:tcPr>
          <w:p>
            <w:pPr>
              <w:spacing w:before="60" w:after="60"/>
              <w:jc w:val="center"/>
            </w:pPr>
            <w:r>
              <w:rPr>
                <w:b/>
                <w:color w:val="FFFFFF"/>
                <w:sz w:val="20"/>
              </w:rPr>
              <w:t>Métrique</w:t>
            </w:r>
          </w:p>
        </w:tc>
        <w:tc>
          <w:tcPr>
            <w:tcW w:type="dxa" w:w="1984"/>
            <w:shd w:val="clear" w:color="auto" w:fill="1F4E79"/>
            <w:vAlign w:val="center"/>
          </w:tcPr>
          <w:p>
            <w:pPr>
              <w:spacing w:before="60" w:after="60"/>
              <w:jc w:val="center"/>
            </w:pPr>
            <w:r>
              <w:rPr>
                <w:b/>
                <w:color w:val="FFFFFF"/>
                <w:sz w:val="20"/>
              </w:rPr>
              <w:t>Train (CV k=5)</w:t>
            </w:r>
          </w:p>
        </w:tc>
        <w:tc>
          <w:tcPr>
            <w:tcW w:type="dxa" w:w="1984"/>
            <w:shd w:val="clear" w:color="auto" w:fill="1F4E79"/>
            <w:vAlign w:val="center"/>
          </w:tcPr>
          <w:p>
            <w:pPr>
              <w:spacing w:before="60" w:after="60"/>
              <w:jc w:val="center"/>
            </w:pPr>
            <w:r>
              <w:rPr>
                <w:b/>
                <w:color w:val="FFFFFF"/>
                <w:sz w:val="20"/>
              </w:rPr>
              <w:t>Test (hold-out 20%)</w:t>
            </w:r>
          </w:p>
        </w:tc>
        <w:tc>
          <w:tcPr>
            <w:tcW w:type="dxa" w:w="3118"/>
            <w:shd w:val="clear" w:color="auto" w:fill="1F4E79"/>
            <w:vAlign w:val="center"/>
          </w:tcPr>
          <w:p>
            <w:pPr>
              <w:spacing w:before="60" w:after="60"/>
              <w:jc w:val="center"/>
            </w:pPr>
            <w:r>
              <w:rPr>
                <w:b/>
                <w:color w:val="FFFFFF"/>
                <w:sz w:val="20"/>
              </w:rPr>
              <w:t>Interprétation</w:t>
            </w:r>
          </w:p>
        </w:tc>
      </w:tr>
      <w:tr>
        <w:tc>
          <w:tcPr>
            <w:tcW w:type="dxa" w:w="1701"/>
            <w:shd w:val="clear" w:color="auto" w:fill="F2F2F2"/>
          </w:tcPr>
          <w:p>
            <w:pPr>
              <w:spacing w:before="40" w:after="40"/>
            </w:pPr>
            <w:r>
              <w:rPr>
                <w:sz w:val="19"/>
              </w:rPr>
              <w:t>RMSE</w:t>
            </w:r>
          </w:p>
        </w:tc>
        <w:tc>
          <w:tcPr>
            <w:tcW w:type="dxa" w:w="1984"/>
            <w:shd w:val="clear" w:color="auto" w:fill="F2F2F2"/>
          </w:tcPr>
          <w:p>
            <w:pPr>
              <w:spacing w:before="40" w:after="40"/>
            </w:pPr>
            <w:r>
              <w:rPr>
                <w:sz w:val="19"/>
              </w:rPr>
              <w:t>0.6606 t/ha</w:t>
            </w:r>
          </w:p>
        </w:tc>
        <w:tc>
          <w:tcPr>
            <w:tcW w:type="dxa" w:w="1984"/>
            <w:shd w:val="clear" w:color="auto" w:fill="F2F2F2"/>
          </w:tcPr>
          <w:p>
            <w:pPr>
              <w:spacing w:before="40" w:after="40"/>
            </w:pPr>
            <w:r>
              <w:rPr>
                <w:sz w:val="19"/>
              </w:rPr>
              <w:t>0.6606 t/ha</w:t>
            </w:r>
          </w:p>
        </w:tc>
        <w:tc>
          <w:tcPr>
            <w:tcW w:type="dxa" w:w="3118"/>
            <w:shd w:val="clear" w:color="auto" w:fill="F2F2F2"/>
          </w:tcPr>
          <w:p>
            <w:pPr>
              <w:spacing w:before="40" w:after="40"/>
            </w:pPr>
            <w:r>
              <w:rPr>
                <w:sz w:val="19"/>
              </w:rPr>
              <w:t>Erreur quadratique moyenne — en unité cible</w:t>
            </w:r>
          </w:p>
        </w:tc>
      </w:tr>
      <w:tr>
        <w:tc>
          <w:tcPr>
            <w:tcW w:type="dxa" w:w="1701"/>
            <w:shd w:val="clear" w:color="auto" w:fill="FFFFFF"/>
          </w:tcPr>
          <w:p>
            <w:pPr>
              <w:spacing w:before="40" w:after="40"/>
            </w:pPr>
            <w:r>
              <w:rPr>
                <w:sz w:val="19"/>
              </w:rPr>
              <w:t>MAE</w:t>
            </w:r>
          </w:p>
        </w:tc>
        <w:tc>
          <w:tcPr>
            <w:tcW w:type="dxa" w:w="1984"/>
            <w:shd w:val="clear" w:color="auto" w:fill="FFFFFF"/>
          </w:tcPr>
          <w:p>
            <w:pPr>
              <w:spacing w:before="40" w:after="40"/>
            </w:pPr>
            <w:r>
              <w:rPr>
                <w:sz w:val="19"/>
              </w:rPr>
              <w:t>~0.48 t/ha</w:t>
            </w:r>
          </w:p>
        </w:tc>
        <w:tc>
          <w:tcPr>
            <w:tcW w:type="dxa" w:w="1984"/>
            <w:shd w:val="clear" w:color="auto" w:fill="FFFFFF"/>
          </w:tcPr>
          <w:p>
            <w:pPr>
              <w:spacing w:before="40" w:after="40"/>
            </w:pPr>
            <w:r>
              <w:rPr>
                <w:sz w:val="19"/>
              </w:rPr>
              <w:t>0.4775 t/ha</w:t>
            </w:r>
          </w:p>
        </w:tc>
        <w:tc>
          <w:tcPr>
            <w:tcW w:type="dxa" w:w="3118"/>
            <w:shd w:val="clear" w:color="auto" w:fill="FFFFFF"/>
          </w:tcPr>
          <w:p>
            <w:pPr>
              <w:spacing w:before="40" w:after="40"/>
            </w:pPr>
            <w:r>
              <w:rPr>
                <w:sz w:val="19"/>
              </w:rPr>
              <w:t>Erreur absolue — plus robuste aux outliers</w:t>
            </w:r>
          </w:p>
        </w:tc>
      </w:tr>
      <w:tr>
        <w:tc>
          <w:tcPr>
            <w:tcW w:type="dxa" w:w="1701"/>
            <w:shd w:val="clear" w:color="auto" w:fill="F2F2F2"/>
          </w:tcPr>
          <w:p>
            <w:pPr>
              <w:spacing w:before="40" w:after="40"/>
            </w:pPr>
            <w:r>
              <w:rPr>
                <w:sz w:val="19"/>
              </w:rPr>
              <w:t>R²</w:t>
            </w:r>
          </w:p>
        </w:tc>
        <w:tc>
          <w:tcPr>
            <w:tcW w:type="dxa" w:w="1984"/>
            <w:shd w:val="clear" w:color="auto" w:fill="F2F2F2"/>
          </w:tcPr>
          <w:p>
            <w:pPr>
              <w:spacing w:before="40" w:after="40"/>
            </w:pPr>
            <w:r>
              <w:rPr>
                <w:sz w:val="19"/>
              </w:rPr>
              <w:t>0.864 ± 0.002</w:t>
            </w:r>
          </w:p>
        </w:tc>
        <w:tc>
          <w:tcPr>
            <w:tcW w:type="dxa" w:w="1984"/>
            <w:shd w:val="clear" w:color="auto" w:fill="F2F2F2"/>
          </w:tcPr>
          <w:p>
            <w:pPr>
              <w:spacing w:before="40" w:after="40"/>
            </w:pPr>
            <w:r>
              <w:rPr>
                <w:sz w:val="19"/>
              </w:rPr>
              <w:t>0.8643</w:t>
            </w:r>
          </w:p>
        </w:tc>
        <w:tc>
          <w:tcPr>
            <w:tcW w:type="dxa" w:w="3118"/>
            <w:shd w:val="clear" w:color="auto" w:fill="F2F2F2"/>
          </w:tcPr>
          <w:p>
            <w:pPr>
              <w:spacing w:before="40" w:after="40"/>
            </w:pPr>
            <w:r>
              <w:rPr>
                <w:sz w:val="19"/>
              </w:rPr>
              <w:t>Variance expliquée — 86.4 % de la variabilité</w:t>
            </w:r>
          </w:p>
        </w:tc>
      </w:tr>
      <w:tr>
        <w:tc>
          <w:tcPr>
            <w:tcW w:type="dxa" w:w="1701"/>
            <w:shd w:val="clear" w:color="auto" w:fill="FFFFFF"/>
          </w:tcPr>
          <w:p>
            <w:pPr>
              <w:spacing w:before="40" w:after="40"/>
            </w:pPr>
            <w:r>
              <w:rPr>
                <w:sz w:val="19"/>
              </w:rPr>
              <w:t>CV R² σ</w:t>
            </w:r>
          </w:p>
        </w:tc>
        <w:tc>
          <w:tcPr>
            <w:tcW w:type="dxa" w:w="1984"/>
            <w:shd w:val="clear" w:color="auto" w:fill="FFFFFF"/>
          </w:tcPr>
          <w:p>
            <w:pPr>
              <w:spacing w:before="40" w:after="40"/>
            </w:pPr>
            <w:r>
              <w:rPr>
                <w:sz w:val="19"/>
              </w:rPr>
              <w:t>0.002</w:t>
            </w:r>
          </w:p>
        </w:tc>
        <w:tc>
          <w:tcPr>
            <w:tcW w:type="dxa" w:w="1984"/>
            <w:shd w:val="clear" w:color="auto" w:fill="FFFFFF"/>
          </w:tcPr>
          <w:p>
            <w:pPr>
              <w:spacing w:before="40" w:after="40"/>
            </w:pPr>
            <w:r>
              <w:rPr>
                <w:sz w:val="19"/>
              </w:rPr>
              <w:t>—</w:t>
            </w:r>
          </w:p>
        </w:tc>
        <w:tc>
          <w:tcPr>
            <w:tcW w:type="dxa" w:w="3118"/>
            <w:shd w:val="clear" w:color="auto" w:fill="FFFFFF"/>
          </w:tcPr>
          <w:p>
            <w:pPr>
              <w:spacing w:before="40" w:after="40"/>
            </w:pPr>
            <w:r>
              <w:rPr>
                <w:sz w:val="19"/>
              </w:rPr>
              <w:t>Très faible — modèle stable et non sur-appris</w:t>
            </w:r>
          </w:p>
        </w:tc>
      </w:tr>
    </w:tbl>
    <w:p/>
    <w:p>
      <w:pPr>
        <w:pBdr>
          <w:left w:val="single" w:sz="12" w:space="4" w:color="2E74B5"/>
        </w:pBdr>
        <w:pBdr>
          <w:right w:val="single" w:sz="12" w:space="4" w:color="2E74B5"/>
        </w:pBdr>
        <w:pBdr>
          <w:top w:val="single" w:sz="12" w:space="4" w:color="2E74B5"/>
        </w:pBdr>
        <w:pBdr>
          <w:bottom w:val="single" w:sz="12" w:space="4" w:color="2E74B5"/>
        </w:pBdr>
        <w:spacing w:before="80" w:after="160"/>
        <w:ind w:left="227" w:right="227"/>
      </w:pPr>
      <w:r>
        <w:rPr>
          <w:i/>
          <w:color w:val="2E74B5"/>
          <w:sz w:val="20"/>
        </w:rPr>
        <w:t>📈  Un R² de 0.864 sur données de test indique que le modèle capture 86.4 % de la variabilité des rendements. La stabilité en cross-validation (σ = 0.002) confirme l'absence de sur-apprentissage. Le RMSE de 0.66 t/ha représente une erreur relative de ~50 % sur la moyenne (1.32 t/ha), ce qui reflète la difficulté inhérente de la prédiction agricole.</w:t>
      </w:r>
    </w:p>
    <w:p>
      <w:pPr>
        <w:pStyle w:val="Heading3"/>
        <w:spacing w:before="160" w:after="80"/>
      </w:pPr>
      <w:r>
        <w:rPr>
          <w:b/>
          <w:sz w:val="22"/>
        </w:rPr>
        <w:t>Importance des features (SHAP)</w:t>
      </w:r>
    </w:p>
    <w:p>
      <w:pPr>
        <w:spacing w:after="120"/>
        <w:ind w:firstLine="0"/>
      </w:pPr>
      <w:r>
        <w:rPr>
          <w:sz w:val="21"/>
        </w:rPr>
        <w:t>L'analyse SHAP (SHapley Additive exPlanations) permet d'attribuer à chaque feature sa contribution réelle aux prédictions, en tenant compte des interactions. Le classement des features par |SHAP| moyen révèle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567"/>
            <w:shd w:val="clear" w:color="auto" w:fill="1F4E79"/>
            <w:vAlign w:val="center"/>
          </w:tcPr>
          <w:p>
            <w:pPr>
              <w:spacing w:before="60" w:after="60"/>
              <w:jc w:val="center"/>
            </w:pPr>
            <w:r>
              <w:rPr>
                <w:b/>
                <w:color w:val="FFFFFF"/>
                <w:sz w:val="20"/>
              </w:rPr>
              <w:t>Rang</w:t>
            </w:r>
          </w:p>
        </w:tc>
        <w:tc>
          <w:tcPr>
            <w:tcW w:type="dxa" w:w="2268"/>
            <w:shd w:val="clear" w:color="auto" w:fill="1F4E79"/>
            <w:vAlign w:val="center"/>
          </w:tcPr>
          <w:p>
            <w:pPr>
              <w:spacing w:before="60" w:after="60"/>
              <w:jc w:val="center"/>
            </w:pPr>
            <w:r>
              <w:rPr>
                <w:b/>
                <w:color w:val="FFFFFF"/>
                <w:sz w:val="20"/>
              </w:rPr>
              <w:t>Feature</w:t>
            </w:r>
          </w:p>
        </w:tc>
        <w:tc>
          <w:tcPr>
            <w:tcW w:type="dxa" w:w="1417"/>
            <w:shd w:val="clear" w:color="auto" w:fill="1F4E79"/>
            <w:vAlign w:val="center"/>
          </w:tcPr>
          <w:p>
            <w:pPr>
              <w:spacing w:before="60" w:after="60"/>
              <w:jc w:val="center"/>
            </w:pPr>
            <w:r>
              <w:rPr>
                <w:b/>
                <w:color w:val="FFFFFF"/>
                <w:sz w:val="20"/>
              </w:rPr>
              <w:t>|SHAP| moyen</w:t>
            </w:r>
          </w:p>
        </w:tc>
        <w:tc>
          <w:tcPr>
            <w:tcW w:type="dxa" w:w="4535"/>
            <w:shd w:val="clear" w:color="auto" w:fill="1F4E79"/>
            <w:vAlign w:val="center"/>
          </w:tcPr>
          <w:p>
            <w:pPr>
              <w:spacing w:before="60" w:after="60"/>
              <w:jc w:val="center"/>
            </w:pPr>
            <w:r>
              <w:rPr>
                <w:b/>
                <w:color w:val="FFFFFF"/>
                <w:sz w:val="20"/>
              </w:rPr>
              <w:t>Interprétation agronomique</w:t>
            </w:r>
          </w:p>
        </w:tc>
      </w:tr>
      <w:tr>
        <w:tc>
          <w:tcPr>
            <w:tcW w:type="dxa" w:w="567"/>
            <w:shd w:val="clear" w:color="auto" w:fill="F2F2F2"/>
          </w:tcPr>
          <w:p>
            <w:pPr>
              <w:spacing w:before="40" w:after="40"/>
            </w:pPr>
            <w:r>
              <w:rPr>
                <w:sz w:val="19"/>
              </w:rPr>
              <w:t>1</w:t>
            </w:r>
          </w:p>
        </w:tc>
        <w:tc>
          <w:tcPr>
            <w:tcW w:type="dxa" w:w="2268"/>
            <w:shd w:val="clear" w:color="auto" w:fill="F2F2F2"/>
          </w:tcPr>
          <w:p>
            <w:pPr>
              <w:spacing w:before="40" w:after="40"/>
            </w:pPr>
            <w:r>
              <w:rPr>
                <w:sz w:val="19"/>
              </w:rPr>
              <w:t>Type de culture (crop_encoded)</w:t>
            </w:r>
          </w:p>
        </w:tc>
        <w:tc>
          <w:tcPr>
            <w:tcW w:type="dxa" w:w="1417"/>
            <w:shd w:val="clear" w:color="auto" w:fill="F2F2F2"/>
          </w:tcPr>
          <w:p>
            <w:pPr>
              <w:spacing w:before="40" w:after="40"/>
            </w:pPr>
            <w:r>
              <w:rPr>
                <w:sz w:val="19"/>
              </w:rPr>
              <w:t>~0.50</w:t>
            </w:r>
          </w:p>
        </w:tc>
        <w:tc>
          <w:tcPr>
            <w:tcW w:type="dxa" w:w="4535"/>
            <w:shd w:val="clear" w:color="auto" w:fill="F2F2F2"/>
          </w:tcPr>
          <w:p>
            <w:pPr>
              <w:spacing w:before="40" w:after="40"/>
            </w:pPr>
            <w:r>
              <w:rPr>
                <w:sz w:val="19"/>
              </w:rPr>
              <w:t>Déterminant principal — potentiel génétique intrinsèque</w:t>
            </w:r>
          </w:p>
        </w:tc>
      </w:tr>
      <w:tr>
        <w:tc>
          <w:tcPr>
            <w:tcW w:type="dxa" w:w="567"/>
            <w:shd w:val="clear" w:color="auto" w:fill="FFFFFF"/>
          </w:tcPr>
          <w:p>
            <w:pPr>
              <w:spacing w:before="40" w:after="40"/>
            </w:pPr>
            <w:r>
              <w:rPr>
                <w:sz w:val="19"/>
              </w:rPr>
              <w:t>2</w:t>
            </w:r>
          </w:p>
        </w:tc>
        <w:tc>
          <w:tcPr>
            <w:tcW w:type="dxa" w:w="2268"/>
            <w:shd w:val="clear" w:color="auto" w:fill="FFFFFF"/>
          </w:tcPr>
          <w:p>
            <w:pPr>
              <w:spacing w:before="40" w:after="40"/>
            </w:pPr>
            <w:r>
              <w:rPr>
                <w:sz w:val="19"/>
              </w:rPr>
              <w:t>Température de l'air</w:t>
            </w:r>
          </w:p>
        </w:tc>
        <w:tc>
          <w:tcPr>
            <w:tcW w:type="dxa" w:w="1417"/>
            <w:shd w:val="clear" w:color="auto" w:fill="FFFFFF"/>
          </w:tcPr>
          <w:p>
            <w:pPr>
              <w:spacing w:before="40" w:after="40"/>
            </w:pPr>
            <w:r>
              <w:rPr>
                <w:sz w:val="19"/>
              </w:rPr>
              <w:t>~0.18</w:t>
            </w:r>
          </w:p>
        </w:tc>
        <w:tc>
          <w:tcPr>
            <w:tcW w:type="dxa" w:w="4535"/>
            <w:shd w:val="clear" w:color="auto" w:fill="FFFFFF"/>
          </w:tcPr>
          <w:p>
            <w:pPr>
              <w:spacing w:before="40" w:after="40"/>
            </w:pPr>
            <w:r>
              <w:rPr>
                <w:sz w:val="19"/>
              </w:rPr>
              <w:t>Régule photosynthèse et phénologie</w:t>
            </w:r>
          </w:p>
        </w:tc>
      </w:tr>
      <w:tr>
        <w:tc>
          <w:tcPr>
            <w:tcW w:type="dxa" w:w="567"/>
            <w:shd w:val="clear" w:color="auto" w:fill="F2F2F2"/>
          </w:tcPr>
          <w:p>
            <w:pPr>
              <w:spacing w:before="40" w:after="40"/>
            </w:pPr>
            <w:r>
              <w:rPr>
                <w:sz w:val="19"/>
              </w:rPr>
              <w:t>3</w:t>
            </w:r>
          </w:p>
        </w:tc>
        <w:tc>
          <w:tcPr>
            <w:tcW w:type="dxa" w:w="2268"/>
            <w:shd w:val="clear" w:color="auto" w:fill="F2F2F2"/>
          </w:tcPr>
          <w:p>
            <w:pPr>
              <w:spacing w:before="40" w:after="40"/>
            </w:pPr>
            <w:r>
              <w:rPr>
                <w:sz w:val="19"/>
              </w:rPr>
              <w:t>Pluviométrie</w:t>
            </w:r>
          </w:p>
        </w:tc>
        <w:tc>
          <w:tcPr>
            <w:tcW w:type="dxa" w:w="1417"/>
            <w:shd w:val="clear" w:color="auto" w:fill="F2F2F2"/>
          </w:tcPr>
          <w:p>
            <w:pPr>
              <w:spacing w:before="40" w:after="40"/>
            </w:pPr>
            <w:r>
              <w:rPr>
                <w:sz w:val="19"/>
              </w:rPr>
              <w:t>~0.15</w:t>
            </w:r>
          </w:p>
        </w:tc>
        <w:tc>
          <w:tcPr>
            <w:tcW w:type="dxa" w:w="4535"/>
            <w:shd w:val="clear" w:color="auto" w:fill="F2F2F2"/>
          </w:tcPr>
          <w:p>
            <w:pPr>
              <w:spacing w:before="40" w:after="40"/>
            </w:pPr>
            <w:r>
              <w:rPr>
                <w:sz w:val="19"/>
              </w:rPr>
              <w:t>Conditionnement du remplissage du grain</w:t>
            </w:r>
          </w:p>
        </w:tc>
      </w:tr>
      <w:tr>
        <w:tc>
          <w:tcPr>
            <w:tcW w:type="dxa" w:w="567"/>
            <w:shd w:val="clear" w:color="auto" w:fill="FFFFFF"/>
          </w:tcPr>
          <w:p>
            <w:pPr>
              <w:spacing w:before="40" w:after="40"/>
            </w:pPr>
            <w:r>
              <w:rPr>
                <w:sz w:val="19"/>
              </w:rPr>
              <w:t>4</w:t>
            </w:r>
          </w:p>
        </w:tc>
        <w:tc>
          <w:tcPr>
            <w:tcW w:type="dxa" w:w="2268"/>
            <w:shd w:val="clear" w:color="auto" w:fill="FFFFFF"/>
          </w:tcPr>
          <w:p>
            <w:pPr>
              <w:spacing w:before="40" w:after="40"/>
            </w:pPr>
            <w:r>
              <w:rPr>
                <w:sz w:val="19"/>
              </w:rPr>
              <w:t>Rayonnement solaire</w:t>
            </w:r>
          </w:p>
        </w:tc>
        <w:tc>
          <w:tcPr>
            <w:tcW w:type="dxa" w:w="1417"/>
            <w:shd w:val="clear" w:color="auto" w:fill="FFFFFF"/>
          </w:tcPr>
          <w:p>
            <w:pPr>
              <w:spacing w:before="40" w:after="40"/>
            </w:pPr>
            <w:r>
              <w:rPr>
                <w:sz w:val="19"/>
              </w:rPr>
              <w:t>~0.09</w:t>
            </w:r>
          </w:p>
        </w:tc>
        <w:tc>
          <w:tcPr>
            <w:tcW w:type="dxa" w:w="4535"/>
            <w:shd w:val="clear" w:color="auto" w:fill="FFFFFF"/>
          </w:tcPr>
          <w:p>
            <w:pPr>
              <w:spacing w:before="40" w:after="40"/>
            </w:pPr>
            <w:r>
              <w:rPr>
                <w:sz w:val="19"/>
              </w:rPr>
              <w:t>Source d'énergie pour la biomasse</w:t>
            </w:r>
          </w:p>
        </w:tc>
      </w:tr>
      <w:tr>
        <w:tc>
          <w:tcPr>
            <w:tcW w:type="dxa" w:w="567"/>
            <w:shd w:val="clear" w:color="auto" w:fill="F2F2F2"/>
          </w:tcPr>
          <w:p>
            <w:pPr>
              <w:spacing w:before="40" w:after="40"/>
            </w:pPr>
            <w:r>
              <w:rPr>
                <w:sz w:val="19"/>
              </w:rPr>
              <w:t>5</w:t>
            </w:r>
          </w:p>
        </w:tc>
        <w:tc>
          <w:tcPr>
            <w:tcW w:type="dxa" w:w="2268"/>
            <w:shd w:val="clear" w:color="auto" w:fill="F2F2F2"/>
          </w:tcPr>
          <w:p>
            <w:pPr>
              <w:spacing w:before="40" w:after="40"/>
            </w:pPr>
            <w:r>
              <w:rPr>
                <w:sz w:val="19"/>
              </w:rPr>
              <w:t>Pesticides normalisés</w:t>
            </w:r>
          </w:p>
        </w:tc>
        <w:tc>
          <w:tcPr>
            <w:tcW w:type="dxa" w:w="1417"/>
            <w:shd w:val="clear" w:color="auto" w:fill="F2F2F2"/>
          </w:tcPr>
          <w:p>
            <w:pPr>
              <w:spacing w:before="40" w:after="40"/>
            </w:pPr>
            <w:r>
              <w:rPr>
                <w:sz w:val="19"/>
              </w:rPr>
              <w:t>~0.08</w:t>
            </w:r>
          </w:p>
        </w:tc>
        <w:tc>
          <w:tcPr>
            <w:tcW w:type="dxa" w:w="4535"/>
            <w:shd w:val="clear" w:color="auto" w:fill="F2F2F2"/>
          </w:tcPr>
          <w:p>
            <w:pPr>
              <w:spacing w:before="40" w:after="40"/>
            </w:pPr>
            <w:r>
              <w:rPr>
                <w:sz w:val="19"/>
              </w:rPr>
              <w:t>Protection phytosanitaire — effet log-linéaire</w:t>
            </w:r>
          </w:p>
        </w:tc>
      </w:tr>
      <w:tr>
        <w:tc>
          <w:tcPr>
            <w:tcW w:type="dxa" w:w="567"/>
            <w:shd w:val="clear" w:color="auto" w:fill="FFFFFF"/>
          </w:tcPr>
          <w:p>
            <w:pPr>
              <w:spacing w:before="40" w:after="40"/>
            </w:pPr>
            <w:r>
              <w:rPr>
                <w:sz w:val="19"/>
              </w:rPr>
              <w:t>6</w:t>
            </w:r>
          </w:p>
        </w:tc>
        <w:tc>
          <w:tcPr>
            <w:tcW w:type="dxa" w:w="2268"/>
            <w:shd w:val="clear" w:color="auto" w:fill="FFFFFF"/>
          </w:tcPr>
          <w:p>
            <w:pPr>
              <w:spacing w:before="40" w:after="40"/>
            </w:pPr>
            <w:r>
              <w:rPr>
                <w:sz w:val="19"/>
              </w:rPr>
              <w:t>Azote (ppm)</w:t>
            </w:r>
          </w:p>
        </w:tc>
        <w:tc>
          <w:tcPr>
            <w:tcW w:type="dxa" w:w="1417"/>
            <w:shd w:val="clear" w:color="auto" w:fill="FFFFFF"/>
          </w:tcPr>
          <w:p>
            <w:pPr>
              <w:spacing w:before="40" w:after="40"/>
            </w:pPr>
            <w:r>
              <w:rPr>
                <w:sz w:val="19"/>
              </w:rPr>
              <w:t>~0.07</w:t>
            </w:r>
          </w:p>
        </w:tc>
        <w:tc>
          <w:tcPr>
            <w:tcW w:type="dxa" w:w="4535"/>
            <w:shd w:val="clear" w:color="auto" w:fill="FFFFFF"/>
          </w:tcPr>
          <w:p>
            <w:pPr>
              <w:spacing w:before="40" w:after="40"/>
            </w:pPr>
            <w:r>
              <w:rPr>
                <w:sz w:val="19"/>
              </w:rPr>
              <w:t>Macro-nutriment limitant — constituant chlorophylle</w:t>
            </w:r>
          </w:p>
        </w:tc>
      </w:tr>
      <w:tr>
        <w:tc>
          <w:tcPr>
            <w:tcW w:type="dxa" w:w="567"/>
            <w:shd w:val="clear" w:color="auto" w:fill="F2F2F2"/>
          </w:tcPr>
          <w:p>
            <w:pPr>
              <w:spacing w:before="40" w:after="40"/>
            </w:pPr>
            <w:r>
              <w:rPr>
                <w:sz w:val="19"/>
              </w:rPr>
              <w:t>7</w:t>
            </w:r>
          </w:p>
        </w:tc>
        <w:tc>
          <w:tcPr>
            <w:tcW w:type="dxa" w:w="2268"/>
            <w:shd w:val="clear" w:color="auto" w:fill="F2F2F2"/>
          </w:tcPr>
          <w:p>
            <w:pPr>
              <w:spacing w:before="40" w:after="40"/>
            </w:pPr>
            <w:r>
              <w:rPr>
                <w:sz w:val="19"/>
              </w:rPr>
              <w:t>pH du sol</w:t>
            </w:r>
          </w:p>
        </w:tc>
        <w:tc>
          <w:tcPr>
            <w:tcW w:type="dxa" w:w="1417"/>
            <w:shd w:val="clear" w:color="auto" w:fill="F2F2F2"/>
          </w:tcPr>
          <w:p>
            <w:pPr>
              <w:spacing w:before="40" w:after="40"/>
            </w:pPr>
            <w:r>
              <w:rPr>
                <w:sz w:val="19"/>
              </w:rPr>
              <w:t>~0.06</w:t>
            </w:r>
          </w:p>
        </w:tc>
        <w:tc>
          <w:tcPr>
            <w:tcW w:type="dxa" w:w="4535"/>
            <w:shd w:val="clear" w:color="auto" w:fill="F2F2F2"/>
          </w:tcPr>
          <w:p>
            <w:pPr>
              <w:spacing w:before="40" w:after="40"/>
            </w:pPr>
            <w:r>
              <w:rPr>
                <w:sz w:val="19"/>
              </w:rPr>
              <w:t>Disponibilité des nutriments — optimum 6.5</w:t>
            </w:r>
          </w:p>
        </w:tc>
      </w:tr>
      <w:tr>
        <w:tc>
          <w:tcPr>
            <w:tcW w:type="dxa" w:w="567"/>
            <w:shd w:val="clear" w:color="auto" w:fill="FFFFFF"/>
          </w:tcPr>
          <w:p>
            <w:pPr>
              <w:spacing w:before="40" w:after="40"/>
            </w:pPr>
            <w:r>
              <w:rPr>
                <w:sz w:val="19"/>
              </w:rPr>
              <w:t>8-13</w:t>
            </w:r>
          </w:p>
        </w:tc>
        <w:tc>
          <w:tcPr>
            <w:tcW w:type="dxa" w:w="2268"/>
            <w:shd w:val="clear" w:color="auto" w:fill="FFFFFF"/>
          </w:tcPr>
          <w:p>
            <w:pPr>
              <w:spacing w:before="40" w:after="40"/>
            </w:pPr>
            <w:r>
              <w:rPr>
                <w:sz w:val="19"/>
              </w:rPr>
              <w:t>Variables secondaires</w:t>
            </w:r>
          </w:p>
        </w:tc>
        <w:tc>
          <w:tcPr>
            <w:tcW w:type="dxa" w:w="1417"/>
            <w:shd w:val="clear" w:color="auto" w:fill="FFFFFF"/>
          </w:tcPr>
          <w:p>
            <w:pPr>
              <w:spacing w:before="40" w:after="40"/>
            </w:pPr>
            <w:r>
              <w:rPr>
                <w:sz w:val="19"/>
              </w:rPr>
              <w:t>&lt; 0.05</w:t>
            </w:r>
          </w:p>
        </w:tc>
        <w:tc>
          <w:tcPr>
            <w:tcW w:type="dxa" w:w="4535"/>
            <w:shd w:val="clear" w:color="auto" w:fill="FFFFFF"/>
          </w:tcPr>
          <w:p>
            <w:pPr>
              <w:spacing w:before="40" w:after="40"/>
            </w:pPr>
            <w:r>
              <w:rPr>
                <w:sz w:val="19"/>
              </w:rPr>
              <w:t>Humidité sol, MA5 pesticides, YoY, etc.</w:t>
            </w:r>
          </w:p>
        </w:tc>
      </w:tr>
    </w:tbl>
    <w:p/>
    <w:p>
      <w:pPr>
        <w:pStyle w:val="Heading2"/>
        <w:spacing w:before="240" w:after="100"/>
      </w:pPr>
      <w:r>
        <w:rPr>
          <w:color w:val="2F75B6"/>
          <w:sz w:val="26"/>
        </w:rPr>
        <w:t>4.2 Modèle Prophet — Prévision de l'utilisation des pesticides</w:t>
      </w:r>
    </w:p>
    <w:p>
      <w:pPr>
        <w:pStyle w:val="Heading3"/>
        <w:spacing w:before="160" w:after="80"/>
      </w:pPr>
      <w:r>
        <w:rPr>
          <w:b/>
          <w:sz w:val="22"/>
        </w:rPr>
        <w:t>Choix du modèle</w:t>
      </w:r>
    </w:p>
    <w:p>
      <w:pPr>
        <w:spacing w:after="120"/>
        <w:ind w:firstLine="0"/>
      </w:pPr>
      <w:r>
        <w:rPr>
          <w:sz w:val="21"/>
        </w:rPr>
        <w:t>Prophet (Facebook/Meta, 2017) a été retenu pour la prévision de séries temporelles annuelles de l'utilisation des pesticides. Ses avantages dans ce contexte sont : robustesse aux données manquantes, modélisation explicite des tendances non-linéaires (changepoints), intervalles de confiance probabilistes, et facilité d'utilisation sans réglage fin.</w:t>
      </w:r>
    </w:p>
    <w:p>
      <w:pPr>
        <w:pStyle w:val="Heading3"/>
        <w:spacing w:before="160" w:after="80"/>
      </w:pPr>
      <w:r>
        <w:rPr>
          <w:b/>
          <w:sz w:val="22"/>
        </w:rPr>
        <w:t>Stratégie d'entraînement et d'évaluation</w:t>
      </w:r>
    </w:p>
    <w:p>
      <w:pPr>
        <w:pStyle w:val="ListBullet"/>
        <w:spacing w:after="40"/>
        <w:ind w:left="283"/>
      </w:pPr>
      <w:r>
        <w:rPr>
          <w:sz w:val="21"/>
        </w:rPr>
        <w:t>Sélection : top 10 pays par volume total de pesticides</w:t>
      </w:r>
    </w:p>
    <w:p>
      <w:pPr>
        <w:pStyle w:val="ListBullet"/>
        <w:spacing w:after="40"/>
        <w:ind w:left="283"/>
      </w:pPr>
      <w:r>
        <w:rPr>
          <w:sz w:val="21"/>
        </w:rPr>
        <w:t>Entraînement : séries 1990–2013 (23 ans)</w:t>
      </w:r>
    </w:p>
    <w:p>
      <w:pPr>
        <w:pStyle w:val="ListBullet"/>
        <w:spacing w:after="40"/>
        <w:ind w:left="283"/>
      </w:pPr>
      <w:r>
        <w:rPr>
          <w:sz w:val="21"/>
        </w:rPr>
        <w:t>Évaluation : hold-out 2014–2016 (MAPE par pays)</w:t>
      </w:r>
    </w:p>
    <w:p>
      <w:pPr>
        <w:pStyle w:val="ListBullet"/>
        <w:spacing w:after="40"/>
        <w:ind w:left="283"/>
      </w:pPr>
      <w:r>
        <w:rPr>
          <w:sz w:val="21"/>
        </w:rPr>
        <w:t>Prévision : 2017–2021 (5 ans) avec intervalles de confiance à 95 %</w:t>
      </w:r>
    </w:p>
    <w:p>
      <w:pPr>
        <w:pStyle w:val="ListBullet"/>
        <w:spacing w:after="40"/>
        <w:ind w:left="283"/>
      </w:pPr>
      <w:r>
        <w:rPr>
          <w:sz w:val="21"/>
        </w:rPr>
        <w:t>Paramétrage : tendance linéaire piece-wise, sans saisonnalité (données annuelles), changepoint_prior_scale=0.3</w:t>
      </w:r>
    </w:p>
    <w:p>
      <w:pPr>
        <w:pStyle w:val="Heading3"/>
        <w:spacing w:before="160" w:after="80"/>
      </w:pPr>
      <w:r>
        <w:rPr>
          <w:b/>
          <w:sz w:val="22"/>
        </w:rPr>
        <w:t>Résultats par pays</w:t>
      </w:r>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1F4E79"/>
            <w:vAlign w:val="center"/>
          </w:tcPr>
          <w:p>
            <w:pPr>
              <w:spacing w:before="60" w:after="60"/>
              <w:jc w:val="center"/>
            </w:pPr>
            <w:r>
              <w:rPr>
                <w:b/>
                <w:color w:val="FFFFFF"/>
                <w:sz w:val="20"/>
              </w:rPr>
              <w:t>Pays</w:t>
            </w:r>
          </w:p>
        </w:tc>
        <w:tc>
          <w:tcPr>
            <w:tcW w:type="dxa" w:w="1417"/>
            <w:shd w:val="clear" w:color="auto" w:fill="1F4E79"/>
            <w:vAlign w:val="center"/>
          </w:tcPr>
          <w:p>
            <w:pPr>
              <w:spacing w:before="60" w:after="60"/>
              <w:jc w:val="center"/>
            </w:pPr>
            <w:r>
              <w:rPr>
                <w:b/>
                <w:color w:val="FFFFFF"/>
                <w:sz w:val="20"/>
              </w:rPr>
              <w:t>MAPE (%)</w:t>
            </w:r>
          </w:p>
        </w:tc>
        <w:tc>
          <w:tcPr>
            <w:tcW w:type="dxa" w:w="4819"/>
            <w:shd w:val="clear" w:color="auto" w:fill="1F4E79"/>
            <w:vAlign w:val="center"/>
          </w:tcPr>
          <w:p>
            <w:pPr>
              <w:spacing w:before="60" w:after="60"/>
              <w:jc w:val="center"/>
            </w:pPr>
            <w:r>
              <w:rPr>
                <w:b/>
                <w:color w:val="FFFFFF"/>
                <w:sz w:val="20"/>
              </w:rPr>
              <w:t>Interprétation</w:t>
            </w:r>
          </w:p>
        </w:tc>
      </w:tr>
      <w:tr>
        <w:tc>
          <w:tcPr>
            <w:tcW w:type="dxa" w:w="2551"/>
            <w:shd w:val="clear" w:color="auto" w:fill="F2F2F2"/>
          </w:tcPr>
          <w:p>
            <w:pPr>
              <w:spacing w:before="40" w:after="40"/>
            </w:pPr>
            <w:r>
              <w:rPr>
                <w:sz w:val="19"/>
              </w:rPr>
              <w:t>États-Unis</w:t>
            </w:r>
          </w:p>
        </w:tc>
        <w:tc>
          <w:tcPr>
            <w:tcW w:type="dxa" w:w="1417"/>
            <w:shd w:val="clear" w:color="auto" w:fill="F2F2F2"/>
          </w:tcPr>
          <w:p>
            <w:pPr>
              <w:spacing w:before="40" w:after="40"/>
            </w:pPr>
            <w:r>
              <w:rPr>
                <w:sz w:val="19"/>
              </w:rPr>
              <w:t>1.42</w:t>
            </w:r>
          </w:p>
        </w:tc>
        <w:tc>
          <w:tcPr>
            <w:tcW w:type="dxa" w:w="4819"/>
            <w:shd w:val="clear" w:color="auto" w:fill="F2F2F2"/>
          </w:tcPr>
          <w:p>
            <w:pPr>
              <w:spacing w:before="40" w:after="40"/>
            </w:pPr>
            <w:r>
              <w:rPr>
                <w:sz w:val="19"/>
              </w:rPr>
              <w:t>Tendance très stable — série très prévisible</w:t>
            </w:r>
          </w:p>
        </w:tc>
      </w:tr>
      <w:tr>
        <w:tc>
          <w:tcPr>
            <w:tcW w:type="dxa" w:w="2551"/>
            <w:shd w:val="clear" w:color="auto" w:fill="FFFFFF"/>
          </w:tcPr>
          <w:p>
            <w:pPr>
              <w:spacing w:before="40" w:after="40"/>
            </w:pPr>
            <w:r>
              <w:rPr>
                <w:sz w:val="19"/>
              </w:rPr>
              <w:t>Chine</w:t>
            </w:r>
          </w:p>
        </w:tc>
        <w:tc>
          <w:tcPr>
            <w:tcW w:type="dxa" w:w="1417"/>
            <w:shd w:val="clear" w:color="auto" w:fill="FFFFFF"/>
          </w:tcPr>
          <w:p>
            <w:pPr>
              <w:spacing w:before="40" w:after="40"/>
            </w:pPr>
            <w:r>
              <w:rPr>
                <w:sz w:val="19"/>
              </w:rPr>
              <w:t>5.85</w:t>
            </w:r>
          </w:p>
        </w:tc>
        <w:tc>
          <w:tcPr>
            <w:tcW w:type="dxa" w:w="4819"/>
            <w:shd w:val="clear" w:color="auto" w:fill="FFFFFF"/>
          </w:tcPr>
          <w:p>
            <w:pPr>
              <w:spacing w:before="40" w:after="40"/>
            </w:pPr>
            <w:r>
              <w:rPr>
                <w:sz w:val="19"/>
              </w:rPr>
              <w:t>Croissance régulière — bonne prédictibilité</w:t>
            </w:r>
          </w:p>
        </w:tc>
      </w:tr>
      <w:tr>
        <w:tc>
          <w:tcPr>
            <w:tcW w:type="dxa" w:w="2551"/>
            <w:shd w:val="clear" w:color="auto" w:fill="F2F2F2"/>
          </w:tcPr>
          <w:p>
            <w:pPr>
              <w:spacing w:before="40" w:after="40"/>
            </w:pPr>
            <w:r>
              <w:rPr>
                <w:sz w:val="19"/>
              </w:rPr>
              <w:t>Brésil</w:t>
            </w:r>
          </w:p>
        </w:tc>
        <w:tc>
          <w:tcPr>
            <w:tcW w:type="dxa" w:w="1417"/>
            <w:shd w:val="clear" w:color="auto" w:fill="F2F2F2"/>
          </w:tcPr>
          <w:p>
            <w:pPr>
              <w:spacing w:before="40" w:after="40"/>
            </w:pPr>
            <w:r>
              <w:rPr>
                <w:sz w:val="19"/>
              </w:rPr>
              <w:t>4.60</w:t>
            </w:r>
          </w:p>
        </w:tc>
        <w:tc>
          <w:tcPr>
            <w:tcW w:type="dxa" w:w="4819"/>
            <w:shd w:val="clear" w:color="auto" w:fill="F2F2F2"/>
          </w:tcPr>
          <w:p>
            <w:pPr>
              <w:spacing w:before="40" w:after="40"/>
            </w:pPr>
            <w:r>
              <w:rPr>
                <w:sz w:val="19"/>
              </w:rPr>
              <w:t>Tendance haussière régulière</w:t>
            </w:r>
          </w:p>
        </w:tc>
      </w:tr>
      <w:tr>
        <w:tc>
          <w:tcPr>
            <w:tcW w:type="dxa" w:w="2551"/>
            <w:shd w:val="clear" w:color="auto" w:fill="FFFFFF"/>
          </w:tcPr>
          <w:p>
            <w:pPr>
              <w:spacing w:before="40" w:after="40"/>
            </w:pPr>
            <w:r>
              <w:rPr>
                <w:sz w:val="19"/>
              </w:rPr>
              <w:t>Japon</w:t>
            </w:r>
          </w:p>
        </w:tc>
        <w:tc>
          <w:tcPr>
            <w:tcW w:type="dxa" w:w="1417"/>
            <w:shd w:val="clear" w:color="auto" w:fill="FFFFFF"/>
          </w:tcPr>
          <w:p>
            <w:pPr>
              <w:spacing w:before="40" w:after="40"/>
            </w:pPr>
            <w:r>
              <w:rPr>
                <w:sz w:val="19"/>
              </w:rPr>
              <w:t>7.62</w:t>
            </w:r>
          </w:p>
        </w:tc>
        <w:tc>
          <w:tcPr>
            <w:tcW w:type="dxa" w:w="4819"/>
            <w:shd w:val="clear" w:color="auto" w:fill="FFFFFF"/>
          </w:tcPr>
          <w:p>
            <w:pPr>
              <w:spacing w:before="40" w:after="40"/>
            </w:pPr>
            <w:r>
              <w:rPr>
                <w:sz w:val="19"/>
              </w:rPr>
              <w:t>Léger plateau depuis 2005</w:t>
            </w:r>
          </w:p>
        </w:tc>
      </w:tr>
      <w:tr>
        <w:tc>
          <w:tcPr>
            <w:tcW w:type="dxa" w:w="2551"/>
            <w:shd w:val="clear" w:color="auto" w:fill="F2F2F2"/>
          </w:tcPr>
          <w:p>
            <w:pPr>
              <w:spacing w:before="40" w:after="40"/>
            </w:pPr>
            <w:r>
              <w:rPr>
                <w:sz w:val="19"/>
              </w:rPr>
              <w:t>Italie</w:t>
            </w:r>
          </w:p>
        </w:tc>
        <w:tc>
          <w:tcPr>
            <w:tcW w:type="dxa" w:w="1417"/>
            <w:shd w:val="clear" w:color="auto" w:fill="F2F2F2"/>
          </w:tcPr>
          <w:p>
            <w:pPr>
              <w:spacing w:before="40" w:after="40"/>
            </w:pPr>
            <w:r>
              <w:rPr>
                <w:sz w:val="19"/>
              </w:rPr>
              <w:t>13.95</w:t>
            </w:r>
          </w:p>
        </w:tc>
        <w:tc>
          <w:tcPr>
            <w:tcW w:type="dxa" w:w="4819"/>
            <w:shd w:val="clear" w:color="auto" w:fill="F2F2F2"/>
          </w:tcPr>
          <w:p>
            <w:pPr>
              <w:spacing w:before="40" w:after="40"/>
            </w:pPr>
            <w:r>
              <w:rPr>
                <w:sz w:val="19"/>
              </w:rPr>
              <w:t>Variabilité liée aux réformes PAC européennes</w:t>
            </w:r>
          </w:p>
        </w:tc>
      </w:tr>
      <w:tr>
        <w:tc>
          <w:tcPr>
            <w:tcW w:type="dxa" w:w="2551"/>
            <w:shd w:val="clear" w:color="auto" w:fill="FFFFFF"/>
          </w:tcPr>
          <w:p>
            <w:pPr>
              <w:spacing w:before="40" w:after="40"/>
            </w:pPr>
            <w:r>
              <w:rPr>
                <w:sz w:val="19"/>
              </w:rPr>
              <w:t>Inde</w:t>
            </w:r>
          </w:p>
        </w:tc>
        <w:tc>
          <w:tcPr>
            <w:tcW w:type="dxa" w:w="1417"/>
            <w:shd w:val="clear" w:color="auto" w:fill="FFFFFF"/>
          </w:tcPr>
          <w:p>
            <w:pPr>
              <w:spacing w:before="40" w:after="40"/>
            </w:pPr>
            <w:r>
              <w:rPr>
                <w:sz w:val="19"/>
              </w:rPr>
              <w:t>17.71</w:t>
            </w:r>
          </w:p>
        </w:tc>
        <w:tc>
          <w:tcPr>
            <w:tcW w:type="dxa" w:w="4819"/>
            <w:shd w:val="clear" w:color="auto" w:fill="FFFFFF"/>
          </w:tcPr>
          <w:p>
            <w:pPr>
              <w:spacing w:before="40" w:after="40"/>
            </w:pPr>
            <w:r>
              <w:rPr>
                <w:sz w:val="19"/>
              </w:rPr>
              <w:t>Volatilité forte — politique agricole changeante</w:t>
            </w:r>
          </w:p>
        </w:tc>
      </w:tr>
      <w:tr>
        <w:tc>
          <w:tcPr>
            <w:tcW w:type="dxa" w:w="2551"/>
            <w:shd w:val="clear" w:color="auto" w:fill="F2F2F2"/>
          </w:tcPr>
          <w:p>
            <w:pPr>
              <w:spacing w:before="40" w:after="40"/>
            </w:pPr>
            <w:r>
              <w:rPr>
                <w:sz w:val="19"/>
              </w:rPr>
              <w:t>Canada</w:t>
            </w:r>
          </w:p>
        </w:tc>
        <w:tc>
          <w:tcPr>
            <w:tcW w:type="dxa" w:w="1417"/>
            <w:shd w:val="clear" w:color="auto" w:fill="F2F2F2"/>
          </w:tcPr>
          <w:p>
            <w:pPr>
              <w:spacing w:before="40" w:after="40"/>
            </w:pPr>
            <w:r>
              <w:rPr>
                <w:sz w:val="19"/>
              </w:rPr>
              <w:t>19.29</w:t>
            </w:r>
          </w:p>
        </w:tc>
        <w:tc>
          <w:tcPr>
            <w:tcW w:type="dxa" w:w="4819"/>
            <w:shd w:val="clear" w:color="auto" w:fill="F2F2F2"/>
          </w:tcPr>
          <w:p>
            <w:pPr>
              <w:spacing w:before="40" w:after="40"/>
            </w:pPr>
            <w:r>
              <w:rPr>
                <w:sz w:val="19"/>
              </w:rPr>
              <w:t>Variabilité climatique et marché des céréales</w:t>
            </w:r>
          </w:p>
        </w:tc>
      </w:tr>
      <w:tr>
        <w:tc>
          <w:tcPr>
            <w:tcW w:type="dxa" w:w="2551"/>
            <w:shd w:val="clear" w:color="auto" w:fill="FFFFFF"/>
          </w:tcPr>
          <w:p>
            <w:pPr>
              <w:spacing w:before="40" w:after="40"/>
            </w:pPr>
            <w:r>
              <w:rPr>
                <w:sz w:val="19"/>
              </w:rPr>
              <w:t>Argentine</w:t>
            </w:r>
          </w:p>
        </w:tc>
        <w:tc>
          <w:tcPr>
            <w:tcW w:type="dxa" w:w="1417"/>
            <w:shd w:val="clear" w:color="auto" w:fill="FFFFFF"/>
          </w:tcPr>
          <w:p>
            <w:pPr>
              <w:spacing w:before="40" w:after="40"/>
            </w:pPr>
            <w:r>
              <w:rPr>
                <w:sz w:val="19"/>
              </w:rPr>
              <w:t>15.33</w:t>
            </w:r>
          </w:p>
        </w:tc>
        <w:tc>
          <w:tcPr>
            <w:tcW w:type="dxa" w:w="4819"/>
            <w:shd w:val="clear" w:color="auto" w:fill="FFFFFF"/>
          </w:tcPr>
          <w:p>
            <w:pPr>
              <w:spacing w:before="40" w:after="40"/>
            </w:pPr>
            <w:r>
              <w:rPr>
                <w:sz w:val="19"/>
              </w:rPr>
              <w:t>Sensible aux cycles économiques</w:t>
            </w:r>
          </w:p>
        </w:tc>
      </w:tr>
      <w:tr>
        <w:tc>
          <w:tcPr>
            <w:tcW w:type="dxa" w:w="2551"/>
            <w:shd w:val="clear" w:color="auto" w:fill="F2F2F2"/>
          </w:tcPr>
          <w:p>
            <w:pPr>
              <w:spacing w:before="40" w:after="40"/>
            </w:pPr>
            <w:r>
              <w:rPr>
                <w:sz w:val="19"/>
              </w:rPr>
              <w:t>France</w:t>
            </w:r>
          </w:p>
        </w:tc>
        <w:tc>
          <w:tcPr>
            <w:tcW w:type="dxa" w:w="1417"/>
            <w:shd w:val="clear" w:color="auto" w:fill="F2F2F2"/>
          </w:tcPr>
          <w:p>
            <w:pPr>
              <w:spacing w:before="40" w:after="40"/>
            </w:pPr>
            <w:r>
              <w:rPr>
                <w:sz w:val="19"/>
              </w:rPr>
              <w:t>24.20</w:t>
            </w:r>
          </w:p>
        </w:tc>
        <w:tc>
          <w:tcPr>
            <w:tcW w:type="dxa" w:w="4819"/>
            <w:shd w:val="clear" w:color="auto" w:fill="F2F2F2"/>
          </w:tcPr>
          <w:p>
            <w:pPr>
              <w:spacing w:before="40" w:after="40"/>
            </w:pPr>
            <w:r>
              <w:rPr>
                <w:sz w:val="19"/>
              </w:rPr>
              <w:t>Forte volatilité — contexte réglementaire Ecophyto</w:t>
            </w:r>
          </w:p>
        </w:tc>
      </w:tr>
      <w:tr>
        <w:tc>
          <w:tcPr>
            <w:tcW w:type="dxa" w:w="2551"/>
            <w:shd w:val="clear" w:color="auto" w:fill="FFFFFF"/>
          </w:tcPr>
          <w:p>
            <w:pPr>
              <w:spacing w:before="40" w:after="40"/>
            </w:pPr>
            <w:r>
              <w:rPr>
                <w:sz w:val="19"/>
              </w:rPr>
              <w:t>Colombie</w:t>
            </w:r>
          </w:p>
        </w:tc>
        <w:tc>
          <w:tcPr>
            <w:tcW w:type="dxa" w:w="1417"/>
            <w:shd w:val="clear" w:color="auto" w:fill="FFFFFF"/>
          </w:tcPr>
          <w:p>
            <w:pPr>
              <w:spacing w:before="40" w:after="40"/>
            </w:pPr>
            <w:r>
              <w:rPr>
                <w:sz w:val="19"/>
              </w:rPr>
              <w:t>38.73</w:t>
            </w:r>
          </w:p>
        </w:tc>
        <w:tc>
          <w:tcPr>
            <w:tcW w:type="dxa" w:w="4819"/>
            <w:shd w:val="clear" w:color="auto" w:fill="FFFFFF"/>
          </w:tcPr>
          <w:p>
            <w:pPr>
              <w:spacing w:before="40" w:after="40"/>
            </w:pPr>
            <w:r>
              <w:rPr>
                <w:sz w:val="19"/>
              </w:rPr>
              <w:t>Données très irrégulières — instabilité structurelle</w:t>
            </w:r>
          </w:p>
        </w:tc>
      </w:tr>
      <w:tr>
        <w:tc>
          <w:tcPr>
            <w:tcW w:type="dxa" w:w="2551"/>
            <w:shd w:val="clear" w:color="auto" w:fill="F2F2F2"/>
          </w:tcPr>
          <w:p>
            <w:pPr>
              <w:spacing w:before="40" w:after="40"/>
            </w:pPr>
            <w:r>
              <w:rPr>
                <w:sz w:val="19"/>
              </w:rPr>
              <w:t>Moyenne</w:t>
            </w:r>
          </w:p>
        </w:tc>
        <w:tc>
          <w:tcPr>
            <w:tcW w:type="dxa" w:w="1417"/>
            <w:shd w:val="clear" w:color="auto" w:fill="F2F2F2"/>
          </w:tcPr>
          <w:p>
            <w:pPr>
              <w:spacing w:before="40" w:after="40"/>
            </w:pPr>
            <w:r>
              <w:rPr>
                <w:sz w:val="19"/>
              </w:rPr>
              <w:t>14.87</w:t>
            </w:r>
          </w:p>
        </w:tc>
        <w:tc>
          <w:tcPr>
            <w:tcW w:type="dxa" w:w="4819"/>
            <w:shd w:val="clear" w:color="auto" w:fill="F2F2F2"/>
          </w:tcPr>
          <w:p>
            <w:pPr>
              <w:spacing w:before="40" w:after="40"/>
            </w:pPr>
            <w:r>
              <w:rPr>
                <w:sz w:val="19"/>
              </w:rPr>
              <w:t>Acceptable pour des données macro-économiques annuelles</w:t>
            </w:r>
          </w:p>
        </w:tc>
      </w:tr>
    </w:tbl>
    <w:p/>
    <w:p>
      <w:r>
        <w:br w:type="page"/>
      </w:r>
    </w:p>
    <w:p>
      <w:pPr>
        <w:pStyle w:val="Heading1"/>
        <w:spacing w:before="360" w:after="160"/>
      </w:pPr>
      <w:r>
        <w:rPr>
          <w:color w:val="2E74B5"/>
          <w:sz w:val="32"/>
        </w:rPr>
        <w:t>5. Pipeline de données et d'entraînement</w:t>
      </w:r>
    </w:p>
    <w:p>
      <w:pPr>
        <w:pStyle w:val="Heading2"/>
        <w:spacing w:before="240" w:after="100"/>
      </w:pPr>
      <w:r>
        <w:rPr>
          <w:color w:val="2F75B6"/>
          <w:sz w:val="26"/>
        </w:rPr>
        <w:t>5.1 Ingestion Spark — ingest_pesticides.py</w:t>
      </w:r>
    </w:p>
    <w:p>
      <w:pPr>
        <w:spacing w:after="120"/>
        <w:ind w:firstLine="0"/>
      </w:pPr>
      <w:r>
        <w:rPr>
          <w:sz w:val="21"/>
        </w:rPr>
        <w:t>Le premier job Spark lit le fichier CSV FAO brut, effectue le nettoyage (filtrage des valeurs nulles, renommage des colonnes, typage) et écrit les données en format Parquet sur le volume partagé data/processed/. Ce format colonnaire optimise les lectures sélectives pour le job de transformation suivant.</w:t>
      </w:r>
    </w:p>
    <w:p>
      <w:pPr>
        <w:pStyle w:val="Heading2"/>
        <w:spacing w:before="240" w:after="100"/>
      </w:pPr>
      <w:r>
        <w:rPr>
          <w:color w:val="2F75B6"/>
          <w:sz w:val="26"/>
        </w:rPr>
        <w:t>5.2 Transformation Spark — transform_pesticides.py</w:t>
      </w:r>
    </w:p>
    <w:p>
      <w:pPr>
        <w:spacing w:after="120"/>
        <w:ind w:firstLine="0"/>
      </w:pPr>
      <w:r>
        <w:rPr>
          <w:sz w:val="21"/>
        </w:rPr>
        <w:t>Le second job Spark lit le Parquet, calcule les features dérivées (YoY growth, MA5, CAGR, normalisation) via des fonctions de fenêtre (Window functions) partitionnées par pays et triées par année, puis écrit le résultat dans la table pesticide_use de PostgreSQL via le connecteur JDBC (org.postgresql:postgresql:42.7.3).</w:t>
      </w:r>
    </w:p>
    <w:p>
      <w:pPr>
        <w:spacing w:after="120"/>
        <w:ind w:firstLine="0"/>
      </w:pPr>
      <w:r>
        <w:rPr>
          <w:sz w:val="21"/>
        </w:rPr>
        <w:t>L'utilisation de Spark pour cette transformation, même sur un dataset de taille modeste, démontre la capacité à monter en charge horizontalement si les volumes de données augmentent.</w:t>
      </w:r>
    </w:p>
    <w:p>
      <w:pPr>
        <w:pStyle w:val="Heading2"/>
        <w:spacing w:before="240" w:after="100"/>
      </w:pPr>
      <w:r>
        <w:rPr>
          <w:color w:val="2F75B6"/>
          <w:sz w:val="26"/>
        </w:rPr>
        <w:t>5.3 Simulation des données capteurs — simulate_data.py</w:t>
      </w:r>
    </w:p>
    <w:p>
      <w:pPr>
        <w:spacing w:after="120"/>
        <w:ind w:firstLine="0"/>
      </w:pPr>
      <w:r>
        <w:rPr>
          <w:sz w:val="21"/>
        </w:rPr>
        <w:t>Le script de simulation génère de manière idempotente (skip si données déjà présentes) 60 parcelles, 420 relevés capteurs annuels (2010–2016) et 420 rendements corrélés. La simulation utilise les profils climatiques réels de chaque pays (température et pluviométrie moyennes) comme valeurs centrales, avec un bruit gaussien pour la variabilité.</w:t>
      </w:r>
    </w:p>
    <w:p>
      <w:pPr>
        <w:pStyle w:val="Heading2"/>
        <w:spacing w:before="240" w:after="100"/>
      </w:pPr>
      <w:r>
        <w:rPr>
          <w:color w:val="2F75B6"/>
          <w:sz w:val="26"/>
        </w:rPr>
        <w:t>5.4 Orchestration Airflow</w:t>
      </w:r>
    </w:p>
    <w:p>
      <w:pPr>
        <w:spacing w:after="120"/>
        <w:ind w:firstLine="0"/>
      </w:pPr>
      <w:r>
        <w:rPr>
          <w:sz w:val="21"/>
        </w:rPr>
        <w:t>Deux DAGs Apache Airflow automatisent le pipeline complet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F4E79"/>
            <w:vAlign w:val="center"/>
          </w:tcPr>
          <w:p>
            <w:pPr>
              <w:spacing w:before="60" w:after="60"/>
              <w:jc w:val="center"/>
            </w:pPr>
            <w:r>
              <w:rPr>
                <w:b/>
                <w:color w:val="FFFFFF"/>
                <w:sz w:val="20"/>
              </w:rPr>
              <w:t>DAG</w:t>
            </w:r>
          </w:p>
        </w:tc>
        <w:tc>
          <w:tcPr>
            <w:tcW w:type="dxa" w:w="1134"/>
            <w:shd w:val="clear" w:color="auto" w:fill="1F4E79"/>
            <w:vAlign w:val="center"/>
          </w:tcPr>
          <w:p>
            <w:pPr>
              <w:spacing w:before="60" w:after="60"/>
              <w:jc w:val="center"/>
            </w:pPr>
            <w:r>
              <w:rPr>
                <w:b/>
                <w:color w:val="FFFFFF"/>
                <w:sz w:val="20"/>
              </w:rPr>
              <w:t>Schedule</w:t>
            </w:r>
          </w:p>
        </w:tc>
        <w:tc>
          <w:tcPr>
            <w:tcW w:type="dxa" w:w="2551"/>
            <w:shd w:val="clear" w:color="auto" w:fill="1F4E79"/>
            <w:vAlign w:val="center"/>
          </w:tcPr>
          <w:p>
            <w:pPr>
              <w:spacing w:before="60" w:after="60"/>
              <w:jc w:val="center"/>
            </w:pPr>
            <w:r>
              <w:rPr>
                <w:b/>
                <w:color w:val="FFFFFF"/>
                <w:sz w:val="20"/>
              </w:rPr>
              <w:t>Tâches</w:t>
            </w:r>
          </w:p>
        </w:tc>
        <w:tc>
          <w:tcPr>
            <w:tcW w:type="dxa" w:w="3118"/>
            <w:shd w:val="clear" w:color="auto" w:fill="1F4E79"/>
            <w:vAlign w:val="center"/>
          </w:tcPr>
          <w:p>
            <w:pPr>
              <w:spacing w:before="60" w:after="60"/>
              <w:jc w:val="center"/>
            </w:pPr>
            <w:r>
              <w:rPr>
                <w:b/>
                <w:color w:val="FFFFFF"/>
                <w:sz w:val="20"/>
              </w:rPr>
              <w:t>Description</w:t>
            </w:r>
          </w:p>
        </w:tc>
      </w:tr>
      <w:tr>
        <w:tc>
          <w:tcPr>
            <w:tcW w:type="dxa" w:w="1984"/>
            <w:shd w:val="clear" w:color="auto" w:fill="F2F2F2"/>
          </w:tcPr>
          <w:p>
            <w:pPr>
              <w:spacing w:before="40" w:after="40"/>
            </w:pPr>
            <w:r>
              <w:rPr>
                <w:sz w:val="19"/>
              </w:rPr>
              <w:t>pesticides_pipeline</w:t>
            </w:r>
          </w:p>
        </w:tc>
        <w:tc>
          <w:tcPr>
            <w:tcW w:type="dxa" w:w="1134"/>
            <w:shd w:val="clear" w:color="auto" w:fill="F2F2F2"/>
          </w:tcPr>
          <w:p>
            <w:pPr>
              <w:spacing w:before="40" w:after="40"/>
            </w:pPr>
            <w:r>
              <w:rPr>
                <w:sz w:val="19"/>
              </w:rPr>
              <w:t>@monthly</w:t>
            </w:r>
          </w:p>
        </w:tc>
        <w:tc>
          <w:tcPr>
            <w:tcW w:type="dxa" w:w="2551"/>
            <w:shd w:val="clear" w:color="auto" w:fill="F2F2F2"/>
          </w:tcPr>
          <w:p>
            <w:pPr>
              <w:spacing w:before="40" w:after="40"/>
            </w:pPr>
            <w:r>
              <w:rPr>
                <w:sz w:val="19"/>
              </w:rPr>
              <w:t>ingest_csv → spark_transform</w:t>
            </w:r>
          </w:p>
        </w:tc>
        <w:tc>
          <w:tcPr>
            <w:tcW w:type="dxa" w:w="3118"/>
            <w:shd w:val="clear" w:color="auto" w:fill="F2F2F2"/>
          </w:tcPr>
          <w:p>
            <w:pPr>
              <w:spacing w:before="40" w:after="40"/>
            </w:pPr>
            <w:r>
              <w:rPr>
                <w:sz w:val="19"/>
              </w:rPr>
              <w:t>Mise à jour des données FAO et recalcul des features</w:t>
            </w:r>
          </w:p>
        </w:tc>
      </w:tr>
      <w:tr>
        <w:tc>
          <w:tcPr>
            <w:tcW w:type="dxa" w:w="1984"/>
            <w:shd w:val="clear" w:color="auto" w:fill="FFFFFF"/>
          </w:tcPr>
          <w:p>
            <w:pPr>
              <w:spacing w:before="40" w:after="40"/>
            </w:pPr>
            <w:r>
              <w:rPr>
                <w:sz w:val="19"/>
              </w:rPr>
              <w:t>ml_pipeline</w:t>
            </w:r>
          </w:p>
        </w:tc>
        <w:tc>
          <w:tcPr>
            <w:tcW w:type="dxa" w:w="1134"/>
            <w:shd w:val="clear" w:color="auto" w:fill="FFFFFF"/>
          </w:tcPr>
          <w:p>
            <w:pPr>
              <w:spacing w:before="40" w:after="40"/>
            </w:pPr>
            <w:r>
              <w:rPr>
                <w:sz w:val="19"/>
              </w:rPr>
              <w:t>@weekly</w:t>
            </w:r>
          </w:p>
        </w:tc>
        <w:tc>
          <w:tcPr>
            <w:tcW w:type="dxa" w:w="2551"/>
            <w:shd w:val="clear" w:color="auto" w:fill="FFFFFF"/>
          </w:tcPr>
          <w:p>
            <w:pPr>
              <w:spacing w:before="40" w:after="40"/>
            </w:pPr>
            <w:r>
              <w:rPr>
                <w:sz w:val="19"/>
              </w:rPr>
              <w:t>simulate_data → train_xgboost → train_prophet</w:t>
            </w:r>
          </w:p>
        </w:tc>
        <w:tc>
          <w:tcPr>
            <w:tcW w:type="dxa" w:w="3118"/>
            <w:shd w:val="clear" w:color="auto" w:fill="FFFFFF"/>
          </w:tcPr>
          <w:p>
            <w:pPr>
              <w:spacing w:before="40" w:after="40"/>
            </w:pPr>
            <w:r>
              <w:rPr>
                <w:sz w:val="19"/>
              </w:rPr>
              <w:t>Re-entraînement des modèles et mise à jour du registry MLflow</w:t>
            </w:r>
          </w:p>
        </w:tc>
      </w:tr>
    </w:tbl>
    <w:p/>
    <w:p>
      <w:pPr>
        <w:spacing w:after="120"/>
        <w:ind w:firstLine="0"/>
      </w:pPr>
      <w:r>
        <w:rPr>
          <w:sz w:val="21"/>
        </w:rPr>
        <w:t>Les tâches Airflow utilisent exclusivement BashOperator pour invoquer les scripts Python via docker exec, évitant d'importer les bibliothèques ML lourdes (Prophet, XGBoost) directement dans le processus Airflow.</w:t>
      </w:r>
    </w:p>
    <w:p>
      <w:r>
        <w:br w:type="page"/>
      </w:r>
    </w:p>
    <w:p>
      <w:pPr>
        <w:pStyle w:val="Heading1"/>
        <w:spacing w:before="360" w:after="160"/>
      </w:pPr>
      <w:r>
        <w:rPr>
          <w:color w:val="2E74B5"/>
          <w:sz w:val="32"/>
        </w:rPr>
        <w:t>6. API FastAPI et Dashboard Streamlit</w:t>
      </w:r>
    </w:p>
    <w:p>
      <w:pPr>
        <w:pStyle w:val="Heading2"/>
        <w:spacing w:before="240" w:after="100"/>
      </w:pPr>
      <w:r>
        <w:rPr>
          <w:color w:val="2F75B6"/>
          <w:sz w:val="26"/>
        </w:rPr>
        <w:t>6.1 API FastAPI — Endpoints</w:t>
      </w:r>
    </w:p>
    <w:p>
      <w:pPr>
        <w:spacing w:after="120"/>
        <w:ind w:firstLine="0"/>
      </w:pPr>
      <w:r>
        <w:rPr>
          <w:sz w:val="21"/>
        </w:rPr>
        <w:t>L'API REST est développée avec FastAPI (Python), offrant une documentation interactive automatique (Swagger UI sur /docs), la validation des données via Pydantic v2, et une intégration native avec SQLAlchemy pour les accès base de données.</w:t>
      </w:r>
    </w:p>
    <w:tbl>
      <w:tblPr>
        <w:tblStyle w:val="TableGrid"/>
        <w:tblW w:type="auto" w:w="0"/>
        <w:jc w:val="center"/>
        <w:tblLook w:firstColumn="1" w:firstRow="1" w:lastColumn="0" w:lastRow="0" w:noHBand="0" w:noVBand="1" w:val="04A0"/>
      </w:tblPr>
      <w:tblGrid>
        <w:gridCol w:w="3041"/>
        <w:gridCol w:w="3041"/>
        <w:gridCol w:w="3041"/>
      </w:tblGrid>
      <w:tr>
        <w:tc>
          <w:tcPr>
            <w:tcW w:type="dxa" w:w="1020"/>
            <w:shd w:val="clear" w:color="auto" w:fill="1F4E79"/>
            <w:vAlign w:val="center"/>
          </w:tcPr>
          <w:p>
            <w:pPr>
              <w:spacing w:before="60" w:after="60"/>
              <w:jc w:val="center"/>
            </w:pPr>
            <w:r>
              <w:rPr>
                <w:b/>
                <w:color w:val="FFFFFF"/>
                <w:sz w:val="20"/>
              </w:rPr>
              <w:t>Méthode</w:t>
            </w:r>
          </w:p>
        </w:tc>
        <w:tc>
          <w:tcPr>
            <w:tcW w:type="dxa" w:w="2835"/>
            <w:shd w:val="clear" w:color="auto" w:fill="1F4E79"/>
            <w:vAlign w:val="center"/>
          </w:tcPr>
          <w:p>
            <w:pPr>
              <w:spacing w:before="60" w:after="60"/>
              <w:jc w:val="center"/>
            </w:pPr>
            <w:r>
              <w:rPr>
                <w:b/>
                <w:color w:val="FFFFFF"/>
                <w:sz w:val="20"/>
              </w:rPr>
              <w:t>Endpoint</w:t>
            </w:r>
          </w:p>
        </w:tc>
        <w:tc>
          <w:tcPr>
            <w:tcW w:type="dxa" w:w="4932"/>
            <w:shd w:val="clear" w:color="auto" w:fill="1F4E79"/>
            <w:vAlign w:val="center"/>
          </w:tcPr>
          <w:p>
            <w:pPr>
              <w:spacing w:before="60" w:after="60"/>
              <w:jc w:val="center"/>
            </w:pPr>
            <w:r>
              <w:rPr>
                <w:b/>
                <w:color w:val="FFFFFF"/>
                <w:sz w:val="20"/>
              </w:rPr>
              <w:t>Description</w:t>
            </w:r>
          </w:p>
        </w:tc>
      </w:tr>
      <w:tr>
        <w:tc>
          <w:tcPr>
            <w:tcW w:type="dxa" w:w="1020"/>
            <w:shd w:val="clear" w:color="auto" w:fill="F2F2F2"/>
          </w:tcPr>
          <w:p>
            <w:pPr>
              <w:spacing w:before="40" w:after="40"/>
            </w:pPr>
            <w:r>
              <w:rPr>
                <w:sz w:val="19"/>
              </w:rPr>
              <w:t>GET</w:t>
            </w:r>
          </w:p>
        </w:tc>
        <w:tc>
          <w:tcPr>
            <w:tcW w:type="dxa" w:w="2835"/>
            <w:shd w:val="clear" w:color="auto" w:fill="F2F2F2"/>
          </w:tcPr>
          <w:p>
            <w:pPr>
              <w:spacing w:before="40" w:after="40"/>
            </w:pPr>
            <w:r>
              <w:rPr>
                <w:sz w:val="19"/>
              </w:rPr>
              <w:t>/health</w:t>
            </w:r>
          </w:p>
        </w:tc>
        <w:tc>
          <w:tcPr>
            <w:tcW w:type="dxa" w:w="4932"/>
            <w:shd w:val="clear" w:color="auto" w:fill="F2F2F2"/>
          </w:tcPr>
          <w:p>
            <w:pPr>
              <w:spacing w:before="40" w:after="40"/>
            </w:pPr>
            <w:r>
              <w:rPr>
                <w:sz w:val="19"/>
              </w:rPr>
              <w:t>Statut de l'API et état de chargement du modèle XGBoost</w:t>
            </w:r>
          </w:p>
        </w:tc>
      </w:tr>
      <w:tr>
        <w:tc>
          <w:tcPr>
            <w:tcW w:type="dxa" w:w="1020"/>
            <w:shd w:val="clear" w:color="auto" w:fill="FFFFFF"/>
          </w:tcPr>
          <w:p>
            <w:pPr>
              <w:spacing w:before="40" w:after="40"/>
            </w:pPr>
            <w:r>
              <w:rPr>
                <w:sz w:val="19"/>
              </w:rPr>
              <w:t>GET</w:t>
            </w:r>
          </w:p>
        </w:tc>
        <w:tc>
          <w:tcPr>
            <w:tcW w:type="dxa" w:w="2835"/>
            <w:shd w:val="clear" w:color="auto" w:fill="FFFFFF"/>
          </w:tcPr>
          <w:p>
            <w:pPr>
              <w:spacing w:before="40" w:after="40"/>
            </w:pPr>
            <w:r>
              <w:rPr>
                <w:sz w:val="19"/>
              </w:rPr>
              <w:t>/parcels</w:t>
            </w:r>
          </w:p>
        </w:tc>
        <w:tc>
          <w:tcPr>
            <w:tcW w:type="dxa" w:w="4932"/>
            <w:shd w:val="clear" w:color="auto" w:fill="FFFFFF"/>
          </w:tcPr>
          <w:p>
            <w:pPr>
              <w:spacing w:before="40" w:after="40"/>
            </w:pPr>
            <w:r>
              <w:rPr>
                <w:sz w:val="19"/>
              </w:rPr>
              <w:t>Liste des 60 parcelles avec attributs géographiques et agronomiques</w:t>
            </w:r>
          </w:p>
        </w:tc>
      </w:tr>
      <w:tr>
        <w:tc>
          <w:tcPr>
            <w:tcW w:type="dxa" w:w="1020"/>
            <w:shd w:val="clear" w:color="auto" w:fill="F2F2F2"/>
          </w:tcPr>
          <w:p>
            <w:pPr>
              <w:spacing w:before="40" w:after="40"/>
            </w:pPr>
            <w:r>
              <w:rPr>
                <w:sz w:val="19"/>
              </w:rPr>
              <w:t>GET</w:t>
            </w:r>
          </w:p>
        </w:tc>
        <w:tc>
          <w:tcPr>
            <w:tcW w:type="dxa" w:w="2835"/>
            <w:shd w:val="clear" w:color="auto" w:fill="F2F2F2"/>
          </w:tcPr>
          <w:p>
            <w:pPr>
              <w:spacing w:before="40" w:after="40"/>
            </w:pPr>
            <w:r>
              <w:rPr>
                <w:sz w:val="19"/>
              </w:rPr>
              <w:t>/parcels/{id}</w:t>
            </w:r>
          </w:p>
        </w:tc>
        <w:tc>
          <w:tcPr>
            <w:tcW w:type="dxa" w:w="4932"/>
            <w:shd w:val="clear" w:color="auto" w:fill="F2F2F2"/>
          </w:tcPr>
          <w:p>
            <w:pPr>
              <w:spacing w:before="40" w:after="40"/>
            </w:pPr>
            <w:r>
              <w:rPr>
                <w:sz w:val="19"/>
              </w:rPr>
              <w:t>Détail d'une parcelle spécifique</w:t>
            </w:r>
          </w:p>
        </w:tc>
      </w:tr>
      <w:tr>
        <w:tc>
          <w:tcPr>
            <w:tcW w:type="dxa" w:w="1020"/>
            <w:shd w:val="clear" w:color="auto" w:fill="FFFFFF"/>
          </w:tcPr>
          <w:p>
            <w:pPr>
              <w:spacing w:before="40" w:after="40"/>
            </w:pPr>
            <w:r>
              <w:rPr>
                <w:sz w:val="19"/>
              </w:rPr>
              <w:t>POST</w:t>
            </w:r>
          </w:p>
        </w:tc>
        <w:tc>
          <w:tcPr>
            <w:tcW w:type="dxa" w:w="2835"/>
            <w:shd w:val="clear" w:color="auto" w:fill="FFFFFF"/>
          </w:tcPr>
          <w:p>
            <w:pPr>
              <w:spacing w:before="40" w:after="40"/>
            </w:pPr>
            <w:r>
              <w:rPr>
                <w:sz w:val="19"/>
              </w:rPr>
              <w:t>/predict/yield</w:t>
            </w:r>
          </w:p>
        </w:tc>
        <w:tc>
          <w:tcPr>
            <w:tcW w:type="dxa" w:w="4932"/>
            <w:shd w:val="clear" w:color="auto" w:fill="FFFFFF"/>
          </w:tcPr>
          <w:p>
            <w:pPr>
              <w:spacing w:before="40" w:after="40"/>
            </w:pPr>
            <w:r>
              <w:rPr>
                <w:sz w:val="19"/>
              </w:rPr>
              <w:t>Prédiction de rendement XGBoost + recommandation irrigation</w:t>
            </w:r>
          </w:p>
        </w:tc>
      </w:tr>
      <w:tr>
        <w:tc>
          <w:tcPr>
            <w:tcW w:type="dxa" w:w="1020"/>
            <w:shd w:val="clear" w:color="auto" w:fill="F2F2F2"/>
          </w:tcPr>
          <w:p>
            <w:pPr>
              <w:spacing w:before="40" w:after="40"/>
            </w:pPr>
            <w:r>
              <w:rPr>
                <w:sz w:val="19"/>
              </w:rPr>
              <w:t>GET</w:t>
            </w:r>
          </w:p>
        </w:tc>
        <w:tc>
          <w:tcPr>
            <w:tcW w:type="dxa" w:w="2835"/>
            <w:shd w:val="clear" w:color="auto" w:fill="F2F2F2"/>
          </w:tcPr>
          <w:p>
            <w:pPr>
              <w:spacing w:before="40" w:after="40"/>
            </w:pPr>
            <w:r>
              <w:rPr>
                <w:sz w:val="19"/>
              </w:rPr>
              <w:t>/predictions</w:t>
            </w:r>
          </w:p>
        </w:tc>
        <w:tc>
          <w:tcPr>
            <w:tcW w:type="dxa" w:w="4932"/>
            <w:shd w:val="clear" w:color="auto" w:fill="F2F2F2"/>
          </w:tcPr>
          <w:p>
            <w:pPr>
              <w:spacing w:before="40" w:after="40"/>
            </w:pPr>
            <w:r>
              <w:rPr>
                <w:sz w:val="19"/>
              </w:rPr>
              <w:t>Historique des prédictions (50 dernières par défaut)</w:t>
            </w:r>
          </w:p>
        </w:tc>
      </w:tr>
      <w:tr>
        <w:tc>
          <w:tcPr>
            <w:tcW w:type="dxa" w:w="1020"/>
            <w:shd w:val="clear" w:color="auto" w:fill="FFFFFF"/>
          </w:tcPr>
          <w:p>
            <w:pPr>
              <w:spacing w:before="40" w:after="40"/>
            </w:pPr>
            <w:r>
              <w:rPr>
                <w:sz w:val="19"/>
              </w:rPr>
              <w:t>GET</w:t>
            </w:r>
          </w:p>
        </w:tc>
        <w:tc>
          <w:tcPr>
            <w:tcW w:type="dxa" w:w="2835"/>
            <w:shd w:val="clear" w:color="auto" w:fill="FFFFFF"/>
          </w:tcPr>
          <w:p>
            <w:pPr>
              <w:spacing w:before="40" w:after="40"/>
            </w:pPr>
            <w:r>
              <w:rPr>
                <w:sz w:val="19"/>
              </w:rPr>
              <w:t>/pesticide/countries</w:t>
            </w:r>
          </w:p>
        </w:tc>
        <w:tc>
          <w:tcPr>
            <w:tcW w:type="dxa" w:w="4932"/>
            <w:shd w:val="clear" w:color="auto" w:fill="FFFFFF"/>
          </w:tcPr>
          <w:p>
            <w:pPr>
              <w:spacing w:before="40" w:after="40"/>
            </w:pPr>
            <w:r>
              <w:rPr>
                <w:sz w:val="19"/>
              </w:rPr>
              <w:t>Liste des pays disponibles dans la base pesticides</w:t>
            </w:r>
          </w:p>
        </w:tc>
      </w:tr>
      <w:tr>
        <w:tc>
          <w:tcPr>
            <w:tcW w:type="dxa" w:w="1020"/>
            <w:shd w:val="clear" w:color="auto" w:fill="F2F2F2"/>
          </w:tcPr>
          <w:p>
            <w:pPr>
              <w:spacing w:before="40" w:after="40"/>
            </w:pPr>
            <w:r>
              <w:rPr>
                <w:sz w:val="19"/>
              </w:rPr>
              <w:t>GET</w:t>
            </w:r>
          </w:p>
        </w:tc>
        <w:tc>
          <w:tcPr>
            <w:tcW w:type="dxa" w:w="2835"/>
            <w:shd w:val="clear" w:color="auto" w:fill="F2F2F2"/>
          </w:tcPr>
          <w:p>
            <w:pPr>
              <w:spacing w:before="40" w:after="40"/>
            </w:pPr>
            <w:r>
              <w:rPr>
                <w:sz w:val="19"/>
              </w:rPr>
              <w:t>/pesticide/history/{country}</w:t>
            </w:r>
          </w:p>
        </w:tc>
        <w:tc>
          <w:tcPr>
            <w:tcW w:type="dxa" w:w="4932"/>
            <w:shd w:val="clear" w:color="auto" w:fill="F2F2F2"/>
          </w:tcPr>
          <w:p>
            <w:pPr>
              <w:spacing w:before="40" w:after="40"/>
            </w:pPr>
            <w:r>
              <w:rPr>
                <w:sz w:val="19"/>
              </w:rPr>
              <w:t>Données historiques FAO pour un pays</w:t>
            </w:r>
          </w:p>
        </w:tc>
      </w:tr>
      <w:tr>
        <w:tc>
          <w:tcPr>
            <w:tcW w:type="dxa" w:w="1020"/>
            <w:shd w:val="clear" w:color="auto" w:fill="FFFFFF"/>
          </w:tcPr>
          <w:p>
            <w:pPr>
              <w:spacing w:before="40" w:after="40"/>
            </w:pPr>
            <w:r>
              <w:rPr>
                <w:sz w:val="19"/>
              </w:rPr>
              <w:t>GET</w:t>
            </w:r>
          </w:p>
        </w:tc>
        <w:tc>
          <w:tcPr>
            <w:tcW w:type="dxa" w:w="2835"/>
            <w:shd w:val="clear" w:color="auto" w:fill="FFFFFF"/>
          </w:tcPr>
          <w:p>
            <w:pPr>
              <w:spacing w:before="40" w:after="40"/>
            </w:pPr>
            <w:r>
              <w:rPr>
                <w:sz w:val="19"/>
              </w:rPr>
              <w:t>/pesticide/forecast/{country}</w:t>
            </w:r>
          </w:p>
        </w:tc>
        <w:tc>
          <w:tcPr>
            <w:tcW w:type="dxa" w:w="4932"/>
            <w:shd w:val="clear" w:color="auto" w:fill="FFFFFF"/>
          </w:tcPr>
          <w:p>
            <w:pPr>
              <w:spacing w:before="40" w:after="40"/>
            </w:pPr>
            <w:r>
              <w:rPr>
                <w:sz w:val="19"/>
              </w:rPr>
              <w:t>Forecast Prophet 2017-2021 depuis les artifacts MLflow</w:t>
            </w:r>
          </w:p>
        </w:tc>
      </w:tr>
      <w:tr>
        <w:tc>
          <w:tcPr>
            <w:tcW w:type="dxa" w:w="1020"/>
            <w:shd w:val="clear" w:color="auto" w:fill="F2F2F2"/>
          </w:tcPr>
          <w:p>
            <w:pPr>
              <w:spacing w:before="40" w:after="40"/>
            </w:pPr>
            <w:r>
              <w:rPr>
                <w:sz w:val="19"/>
              </w:rPr>
              <w:t>GET</w:t>
            </w:r>
          </w:p>
        </w:tc>
        <w:tc>
          <w:tcPr>
            <w:tcW w:type="dxa" w:w="2835"/>
            <w:shd w:val="clear" w:color="auto" w:fill="F2F2F2"/>
          </w:tcPr>
          <w:p>
            <w:pPr>
              <w:spacing w:before="40" w:after="40"/>
            </w:pPr>
            <w:r>
              <w:rPr>
                <w:sz w:val="19"/>
              </w:rPr>
              <w:t>/metrics</w:t>
            </w:r>
          </w:p>
        </w:tc>
        <w:tc>
          <w:tcPr>
            <w:tcW w:type="dxa" w:w="4932"/>
            <w:shd w:val="clear" w:color="auto" w:fill="F2F2F2"/>
          </w:tcPr>
          <w:p>
            <w:pPr>
              <w:spacing w:before="40" w:after="40"/>
            </w:pPr>
            <w:r>
              <w:rPr>
                <w:sz w:val="19"/>
              </w:rPr>
              <w:t>Métriques Prometheus (format text/plain)</w:t>
            </w:r>
          </w:p>
        </w:tc>
      </w:tr>
    </w:tbl>
    <w:p/>
    <w:p>
      <w:pPr>
        <w:pStyle w:val="Heading2"/>
        <w:spacing w:before="240" w:after="100"/>
      </w:pPr>
      <w:r>
        <w:rPr>
          <w:color w:val="2F75B6"/>
          <w:sz w:val="26"/>
        </w:rPr>
        <w:t>6.2 Métriques Prometheus personnalisées</w:t>
      </w:r>
    </w:p>
    <w:p>
      <w:pPr>
        <w:spacing w:after="120"/>
        <w:ind w:firstLine="0"/>
      </w:pPr>
      <w:r>
        <w:rPr>
          <w:sz w:val="21"/>
        </w:rPr>
        <w:t>Trois métriques personnalisées sont exposées par l'API en plus des métriques HTTP automatiques de prometheus-fastapi-instrumentator :</w:t>
      </w:r>
    </w:p>
    <w:p>
      <w:pPr>
        <w:pStyle w:val="ListBullet"/>
        <w:spacing w:after="40"/>
        <w:ind w:left="283"/>
      </w:pPr>
      <w:r>
        <w:rPr>
          <w:sz w:val="21"/>
        </w:rPr>
        <w:t>agritech_predictions_total [counter, label: crop_type] — Nombre total de prédictions par culture</w:t>
      </w:r>
    </w:p>
    <w:p>
      <w:pPr>
        <w:pStyle w:val="ListBullet"/>
        <w:spacing w:after="40"/>
        <w:ind w:left="283"/>
      </w:pPr>
      <w:r>
        <w:rPr>
          <w:sz w:val="21"/>
        </w:rPr>
        <w:t>agritech_prediction_duration_seconds [histogram] — Durée d'inférence XGBoost (hors réseau), buckets de 1ms à 2.5s</w:t>
      </w:r>
    </w:p>
    <w:p>
      <w:pPr>
        <w:pStyle w:val="ListBullet"/>
        <w:spacing w:after="40"/>
        <w:ind w:left="283"/>
      </w:pPr>
      <w:r>
        <w:rPr>
          <w:sz w:val="21"/>
        </w:rPr>
        <w:t>agritech_model_errors_total [counter] — Nombre d'erreurs de chargement ou d'inférence du modèle</w:t>
      </w:r>
    </w:p>
    <w:p>
      <w:pPr>
        <w:pStyle w:val="Heading2"/>
        <w:spacing w:before="240" w:after="100"/>
      </w:pPr>
      <w:r>
        <w:rPr>
          <w:color w:val="2F75B6"/>
          <w:sz w:val="26"/>
        </w:rPr>
        <w:t>6.3 Dashboard Streamlit</w:t>
      </w:r>
    </w:p>
    <w:p>
      <w:pPr>
        <w:spacing w:after="120"/>
        <w:ind w:firstLine="0"/>
      </w:pPr>
      <w:r>
        <w:rPr>
          <w:sz w:val="21"/>
        </w:rPr>
        <w:t>Le dashboard Streamlit offre une interface utilisateur complète accessible sur le port 8501. Il permet la visualisation des données historiques de capteurs par parcelle, la consultation des prévisions Prophet par pays, le suivi de l'historique des prédictions, et l'accès aux métriques de performance du modèle. Le dashboard communique exclusivement avec l'API FastAPI (via l'URL interne http://api:8000) pour les prédictions, et accède directement à PostgreSQL pour les données analytiques.</w:t>
      </w:r>
    </w:p>
    <w:p>
      <w:r>
        <w:br w:type="page"/>
      </w:r>
    </w:p>
    <w:p>
      <w:pPr>
        <w:pStyle w:val="Heading1"/>
        <w:spacing w:before="360" w:after="160"/>
      </w:pPr>
      <w:r>
        <w:rPr>
          <w:color w:val="2E74B5"/>
          <w:sz w:val="32"/>
        </w:rPr>
        <w:t>7. Infrastructure, monitoring et CI/CD</w:t>
      </w:r>
    </w:p>
    <w:p>
      <w:pPr>
        <w:pStyle w:val="Heading2"/>
        <w:spacing w:before="240" w:after="100"/>
      </w:pPr>
      <w:r>
        <w:rPr>
          <w:color w:val="2F75B6"/>
          <w:sz w:val="26"/>
        </w:rPr>
        <w:t>7.1 Tracking MLflow</w:t>
      </w:r>
    </w:p>
    <w:p>
      <w:pPr>
        <w:spacing w:after="120"/>
        <w:ind w:firstLine="0"/>
      </w:pPr>
      <w:r>
        <w:rPr>
          <w:sz w:val="21"/>
        </w:rPr>
        <w:t>MLflow 3.1.0 assure la traçabilité complète de chaque expérience ML. Le tracking server utilise PostgreSQL comme backend de métadonnées et un volume Docker dédié pour les artifacts. Chaque run enregistre les hyperparamètres, les métriques de performance, les importances de features, le modèle sérialisé et le version du modèle dans le registry.</w:t>
      </w:r>
    </w:p>
    <w:p>
      <w:pPr>
        <w:spacing w:after="120"/>
        <w:ind w:firstLine="0"/>
      </w:pPr>
      <w:r>
        <w:rPr>
          <w:sz w:val="21"/>
        </w:rPr>
        <w:t>Le model registry MLflow permet de versionner les modèles déployés et de charger dynamiquement la dernière version dans l'API via l'URI models:/yield-xgboost/latest. Cette approche facilite les déploiements sans interruption de service (hot-reload).</w:t>
      </w:r>
    </w:p>
    <w:p>
      <w:pPr>
        <w:pStyle w:val="Heading2"/>
        <w:spacing w:before="240" w:after="100"/>
      </w:pPr>
      <w:r>
        <w:rPr>
          <w:color w:val="2F75B6"/>
          <w:sz w:val="26"/>
        </w:rPr>
        <w:t>7.2 Monitoring Prometheus + Grafana</w:t>
      </w:r>
    </w:p>
    <w:p>
      <w:pPr>
        <w:spacing w:after="120"/>
        <w:ind w:firstLine="0"/>
      </w:pPr>
      <w:r>
        <w:rPr>
          <w:sz w:val="21"/>
        </w:rPr>
        <w:t>Prometheus scrape l'endpoint /metrics de l'API toutes les 15 secondes, collectant l'ensemble des métriques HTTP (latence, codes de statut, débit) et les métriques métier personnalisées. La rétention des données est configurée à 15 jours.</w:t>
      </w:r>
    </w:p>
    <w:p>
      <w:pPr>
        <w:spacing w:after="120"/>
        <w:ind w:firstLine="0"/>
      </w:pPr>
      <w:r>
        <w:rPr>
          <w:sz w:val="21"/>
        </w:rPr>
        <w:t>Un dashboard Grafana préconfiguré (provisioning automatique via fichiers YAML et JSON) offre 9 panneaux de visualisation : prédictions par seconde et par culture, latence HTTP P50/P95/P99, répartition des codes de statut, latence d'inférence XGBoost, et compteur d'erreurs du modèle.</w:t>
      </w:r>
    </w:p>
    <w:p>
      <w:pPr>
        <w:pStyle w:val="Heading2"/>
        <w:spacing w:before="240" w:after="100"/>
      </w:pPr>
      <w:r>
        <w:rPr>
          <w:color w:val="2F75B6"/>
          <w:sz w:val="26"/>
        </w:rPr>
        <w:t>7.3 Pipeline CI/CD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1F4E79"/>
            <w:vAlign w:val="center"/>
          </w:tcPr>
          <w:p>
            <w:pPr>
              <w:spacing w:before="60" w:after="60"/>
              <w:jc w:val="center"/>
            </w:pPr>
            <w:r>
              <w:rPr>
                <w:b/>
                <w:color w:val="FFFFFF"/>
                <w:sz w:val="20"/>
              </w:rPr>
              <w:t>Workflow</w:t>
            </w:r>
          </w:p>
        </w:tc>
        <w:tc>
          <w:tcPr>
            <w:tcW w:type="dxa" w:w="2268"/>
            <w:shd w:val="clear" w:color="auto" w:fill="1F4E79"/>
            <w:vAlign w:val="center"/>
          </w:tcPr>
          <w:p>
            <w:pPr>
              <w:spacing w:before="60" w:after="60"/>
              <w:jc w:val="center"/>
            </w:pPr>
            <w:r>
              <w:rPr>
                <w:b/>
                <w:color w:val="FFFFFF"/>
                <w:sz w:val="20"/>
              </w:rPr>
              <w:t>Déclencheur</w:t>
            </w:r>
          </w:p>
        </w:tc>
        <w:tc>
          <w:tcPr>
            <w:tcW w:type="dxa" w:w="1984"/>
            <w:shd w:val="clear" w:color="auto" w:fill="1F4E79"/>
            <w:vAlign w:val="center"/>
          </w:tcPr>
          <w:p>
            <w:pPr>
              <w:spacing w:before="60" w:after="60"/>
              <w:jc w:val="center"/>
            </w:pPr>
            <w:r>
              <w:rPr>
                <w:b/>
                <w:color w:val="FFFFFF"/>
                <w:sz w:val="20"/>
              </w:rPr>
              <w:t>Outil</w:t>
            </w:r>
          </w:p>
        </w:tc>
        <w:tc>
          <w:tcPr>
            <w:tcW w:type="dxa" w:w="2835"/>
            <w:shd w:val="clear" w:color="auto" w:fill="1F4E79"/>
            <w:vAlign w:val="center"/>
          </w:tcPr>
          <w:p>
            <w:pPr>
              <w:spacing w:before="60" w:after="60"/>
              <w:jc w:val="center"/>
            </w:pPr>
            <w:r>
              <w:rPr>
                <w:b/>
                <w:color w:val="FFFFFF"/>
                <w:sz w:val="20"/>
              </w:rPr>
              <w:t>Action</w:t>
            </w:r>
          </w:p>
        </w:tc>
      </w:tr>
      <w:tr>
        <w:tc>
          <w:tcPr>
            <w:tcW w:type="dxa" w:w="1701"/>
            <w:shd w:val="clear" w:color="auto" w:fill="F2F2F2"/>
          </w:tcPr>
          <w:p>
            <w:pPr>
              <w:spacing w:before="40" w:after="40"/>
            </w:pPr>
            <w:r>
              <w:rPr>
                <w:sz w:val="19"/>
              </w:rPr>
              <w:t>semantic-release</w:t>
            </w:r>
          </w:p>
        </w:tc>
        <w:tc>
          <w:tcPr>
            <w:tcW w:type="dxa" w:w="2268"/>
            <w:shd w:val="clear" w:color="auto" w:fill="F2F2F2"/>
          </w:tcPr>
          <w:p>
            <w:pPr>
              <w:spacing w:before="40" w:after="40"/>
            </w:pPr>
            <w:r>
              <w:rPr>
                <w:sz w:val="19"/>
              </w:rPr>
              <w:t>Push sur main</w:t>
            </w:r>
          </w:p>
        </w:tc>
        <w:tc>
          <w:tcPr>
            <w:tcW w:type="dxa" w:w="1984"/>
            <w:shd w:val="clear" w:color="auto" w:fill="F2F2F2"/>
          </w:tcPr>
          <w:p>
            <w:pPr>
              <w:spacing w:before="40" w:after="40"/>
            </w:pPr>
            <w:r>
              <w:rPr>
                <w:sz w:val="19"/>
              </w:rPr>
              <w:t>semantic-release</w:t>
            </w:r>
          </w:p>
        </w:tc>
        <w:tc>
          <w:tcPr>
            <w:tcW w:type="dxa" w:w="2835"/>
            <w:shd w:val="clear" w:color="auto" w:fill="F2F2F2"/>
          </w:tcPr>
          <w:p>
            <w:pPr>
              <w:spacing w:before="40" w:after="40"/>
            </w:pPr>
            <w:r>
              <w:rPr>
                <w:sz w:val="19"/>
              </w:rPr>
              <w:t>Calcule version SemVer, génère CHANGELOG, crée release GitHub</w:t>
            </w:r>
          </w:p>
        </w:tc>
      </w:tr>
      <w:tr>
        <w:tc>
          <w:tcPr>
            <w:tcW w:type="dxa" w:w="1701"/>
            <w:shd w:val="clear" w:color="auto" w:fill="FFFFFF"/>
          </w:tcPr>
          <w:p>
            <w:pPr>
              <w:spacing w:before="40" w:after="40"/>
            </w:pPr>
            <w:r>
              <w:rPr>
                <w:sz w:val="19"/>
              </w:rPr>
              <w:t>lint</w:t>
            </w:r>
          </w:p>
        </w:tc>
        <w:tc>
          <w:tcPr>
            <w:tcW w:type="dxa" w:w="2268"/>
            <w:shd w:val="clear" w:color="auto" w:fill="FFFFFF"/>
          </w:tcPr>
          <w:p>
            <w:pPr>
              <w:spacing w:before="40" w:after="40"/>
            </w:pPr>
            <w:r>
              <w:rPr>
                <w:sz w:val="19"/>
              </w:rPr>
              <w:t>Push + PR → develop/main</w:t>
            </w:r>
          </w:p>
        </w:tc>
        <w:tc>
          <w:tcPr>
            <w:tcW w:type="dxa" w:w="1984"/>
            <w:shd w:val="clear" w:color="auto" w:fill="FFFFFF"/>
          </w:tcPr>
          <w:p>
            <w:pPr>
              <w:spacing w:before="40" w:after="40"/>
            </w:pPr>
            <w:r>
              <w:rPr>
                <w:sz w:val="19"/>
              </w:rPr>
              <w:t>Pylint (score ≥ 8.0)</w:t>
            </w:r>
          </w:p>
        </w:tc>
        <w:tc>
          <w:tcPr>
            <w:tcW w:type="dxa" w:w="2835"/>
            <w:shd w:val="clear" w:color="auto" w:fill="FFFFFF"/>
          </w:tcPr>
          <w:p>
            <w:pPr>
              <w:spacing w:before="40" w:after="40"/>
            </w:pPr>
            <w:r>
              <w:rPr>
                <w:sz w:val="19"/>
              </w:rPr>
              <w:t>Analyse statique du code Python — 9.39/10 obtenu</w:t>
            </w:r>
          </w:p>
        </w:tc>
      </w:tr>
      <w:tr>
        <w:tc>
          <w:tcPr>
            <w:tcW w:type="dxa" w:w="1701"/>
            <w:shd w:val="clear" w:color="auto" w:fill="F2F2F2"/>
          </w:tcPr>
          <w:p>
            <w:pPr>
              <w:spacing w:before="40" w:after="40"/>
            </w:pPr>
            <w:r>
              <w:rPr>
                <w:sz w:val="19"/>
              </w:rPr>
              <w:t>tests</w:t>
            </w:r>
          </w:p>
        </w:tc>
        <w:tc>
          <w:tcPr>
            <w:tcW w:type="dxa" w:w="2268"/>
            <w:shd w:val="clear" w:color="auto" w:fill="F2F2F2"/>
          </w:tcPr>
          <w:p>
            <w:pPr>
              <w:spacing w:before="40" w:after="40"/>
            </w:pPr>
            <w:r>
              <w:rPr>
                <w:sz w:val="19"/>
              </w:rPr>
              <w:t>Push sur main</w:t>
            </w:r>
          </w:p>
        </w:tc>
        <w:tc>
          <w:tcPr>
            <w:tcW w:type="dxa" w:w="1984"/>
            <w:shd w:val="clear" w:color="auto" w:fill="F2F2F2"/>
          </w:tcPr>
          <w:p>
            <w:pPr>
              <w:spacing w:before="40" w:after="40"/>
            </w:pPr>
            <w:r>
              <w:rPr>
                <w:sz w:val="19"/>
              </w:rPr>
              <w:t>pytest</w:t>
            </w:r>
          </w:p>
        </w:tc>
        <w:tc>
          <w:tcPr>
            <w:tcW w:type="dxa" w:w="2835"/>
            <w:shd w:val="clear" w:color="auto" w:fill="F2F2F2"/>
          </w:tcPr>
          <w:p>
            <w:pPr>
              <w:spacing w:before="40" w:after="40"/>
            </w:pPr>
            <w:r>
              <w:rPr>
                <w:sz w:val="19"/>
              </w:rPr>
              <w:t>69 tests unitaires — 4 modules API, ML, Spark, Prophet</w:t>
            </w:r>
          </w:p>
        </w:tc>
      </w:tr>
    </w:tbl>
    <w:p/>
    <w:p>
      <w:pPr>
        <w:spacing w:after="120"/>
        <w:ind w:firstLine="0"/>
      </w:pPr>
      <w:r>
        <w:rPr>
          <w:sz w:val="21"/>
        </w:rPr>
        <w:t>Les commits suivent la convention Conventional Commits (feat:, fix:, chore:, etc.) qui pilote le versioning automatique via semantic-release. Un merge avec feat: déclenche un bump mineur, un fix: un bump patch, un feat!: (breaking) un bump majeur.</w:t>
      </w:r>
    </w:p>
    <w:p>
      <w:pPr>
        <w:pStyle w:val="Heading2"/>
        <w:spacing w:before="240" w:after="100"/>
      </w:pPr>
      <w:r>
        <w:rPr>
          <w:color w:val="2F75B6"/>
          <w:sz w:val="26"/>
        </w:rPr>
        <w:t>7.4 Tests unitaires</w:t>
      </w:r>
    </w:p>
    <w:p>
      <w:pPr>
        <w:spacing w:after="120"/>
        <w:ind w:firstLine="0"/>
      </w:pPr>
      <w:r>
        <w:rPr>
          <w:sz w:val="21"/>
        </w:rPr>
        <w:t>La suite de tests couvre les modules critiques avec 69 tests répartis en 4 fichiers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1F4E79"/>
            <w:vAlign w:val="center"/>
          </w:tcPr>
          <w:p>
            <w:pPr>
              <w:spacing w:before="60" w:after="60"/>
              <w:jc w:val="center"/>
            </w:pPr>
            <w:r>
              <w:rPr>
                <w:b/>
                <w:color w:val="FFFFFF"/>
                <w:sz w:val="20"/>
              </w:rPr>
              <w:t>Fichier de test</w:t>
            </w:r>
          </w:p>
        </w:tc>
        <w:tc>
          <w:tcPr>
            <w:tcW w:type="dxa" w:w="2551"/>
            <w:shd w:val="clear" w:color="auto" w:fill="1F4E79"/>
            <w:vAlign w:val="center"/>
          </w:tcPr>
          <w:p>
            <w:pPr>
              <w:spacing w:before="60" w:after="60"/>
              <w:jc w:val="center"/>
            </w:pPr>
            <w:r>
              <w:rPr>
                <w:b/>
                <w:color w:val="FFFFFF"/>
                <w:sz w:val="20"/>
              </w:rPr>
              <w:t>Module testé</w:t>
            </w:r>
          </w:p>
        </w:tc>
        <w:tc>
          <w:tcPr>
            <w:tcW w:type="dxa" w:w="1020"/>
            <w:shd w:val="clear" w:color="auto" w:fill="1F4E79"/>
            <w:vAlign w:val="center"/>
          </w:tcPr>
          <w:p>
            <w:pPr>
              <w:spacing w:before="60" w:after="60"/>
              <w:jc w:val="center"/>
            </w:pPr>
            <w:r>
              <w:rPr>
                <w:b/>
                <w:color w:val="FFFFFF"/>
                <w:sz w:val="20"/>
              </w:rPr>
              <w:t>Nb tests</w:t>
            </w:r>
          </w:p>
        </w:tc>
        <w:tc>
          <w:tcPr>
            <w:tcW w:type="dxa" w:w="2948"/>
            <w:shd w:val="clear" w:color="auto" w:fill="1F4E79"/>
            <w:vAlign w:val="center"/>
          </w:tcPr>
          <w:p>
            <w:pPr>
              <w:spacing w:before="60" w:after="60"/>
              <w:jc w:val="center"/>
            </w:pPr>
            <w:r>
              <w:rPr>
                <w:b/>
                <w:color w:val="FFFFFF"/>
                <w:sz w:val="20"/>
              </w:rPr>
              <w:t>Périmètre</w:t>
            </w:r>
          </w:p>
        </w:tc>
      </w:tr>
      <w:tr>
        <w:tc>
          <w:tcPr>
            <w:tcW w:type="dxa" w:w="2268"/>
            <w:shd w:val="clear" w:color="auto" w:fill="F2F2F2"/>
          </w:tcPr>
          <w:p>
            <w:pPr>
              <w:spacing w:before="40" w:after="40"/>
            </w:pPr>
            <w:r>
              <w:rPr>
                <w:sz w:val="19"/>
              </w:rPr>
              <w:t>test_api.py</w:t>
            </w:r>
          </w:p>
        </w:tc>
        <w:tc>
          <w:tcPr>
            <w:tcW w:type="dxa" w:w="2551"/>
            <w:shd w:val="clear" w:color="auto" w:fill="F2F2F2"/>
          </w:tcPr>
          <w:p>
            <w:pPr>
              <w:spacing w:before="40" w:after="40"/>
            </w:pPr>
            <w:r>
              <w:rPr>
                <w:sz w:val="19"/>
              </w:rPr>
              <w:t>src/api/main.py</w:t>
            </w:r>
          </w:p>
        </w:tc>
        <w:tc>
          <w:tcPr>
            <w:tcW w:type="dxa" w:w="1020"/>
            <w:shd w:val="clear" w:color="auto" w:fill="F2F2F2"/>
          </w:tcPr>
          <w:p>
            <w:pPr>
              <w:spacing w:before="40" w:after="40"/>
            </w:pPr>
            <w:r>
              <w:rPr>
                <w:sz w:val="19"/>
              </w:rPr>
              <w:t>27</w:t>
            </w:r>
          </w:p>
        </w:tc>
        <w:tc>
          <w:tcPr>
            <w:tcW w:type="dxa" w:w="2948"/>
            <w:shd w:val="clear" w:color="auto" w:fill="F2F2F2"/>
          </w:tcPr>
          <w:p>
            <w:pPr>
              <w:spacing w:before="40" w:after="40"/>
            </w:pPr>
            <w:r>
              <w:rPr>
                <w:sz w:val="19"/>
              </w:rPr>
              <w:t>Endpoints FastAPI, prédiction, parcelles, pesticides, health</w:t>
            </w:r>
          </w:p>
        </w:tc>
      </w:tr>
      <w:tr>
        <w:tc>
          <w:tcPr>
            <w:tcW w:type="dxa" w:w="2268"/>
            <w:shd w:val="clear" w:color="auto" w:fill="FFFFFF"/>
          </w:tcPr>
          <w:p>
            <w:pPr>
              <w:spacing w:before="40" w:after="40"/>
            </w:pPr>
            <w:r>
              <w:rPr>
                <w:sz w:val="19"/>
              </w:rPr>
              <w:t>test_train_xgboost.py</w:t>
            </w:r>
          </w:p>
        </w:tc>
        <w:tc>
          <w:tcPr>
            <w:tcW w:type="dxa" w:w="2551"/>
            <w:shd w:val="clear" w:color="auto" w:fill="FFFFFF"/>
          </w:tcPr>
          <w:p>
            <w:pPr>
              <w:spacing w:before="40" w:after="40"/>
            </w:pPr>
            <w:r>
              <w:rPr>
                <w:sz w:val="19"/>
              </w:rPr>
              <w:t>src/ml/train_xgboost.py</w:t>
            </w:r>
          </w:p>
        </w:tc>
        <w:tc>
          <w:tcPr>
            <w:tcW w:type="dxa" w:w="1020"/>
            <w:shd w:val="clear" w:color="auto" w:fill="FFFFFF"/>
          </w:tcPr>
          <w:p>
            <w:pPr>
              <w:spacing w:before="40" w:after="40"/>
            </w:pPr>
            <w:r>
              <w:rPr>
                <w:sz w:val="19"/>
              </w:rPr>
              <w:t>18</w:t>
            </w:r>
          </w:p>
        </w:tc>
        <w:tc>
          <w:tcPr>
            <w:tcW w:type="dxa" w:w="2948"/>
            <w:shd w:val="clear" w:color="auto" w:fill="FFFFFF"/>
          </w:tcPr>
          <w:p>
            <w:pPr>
              <w:spacing w:before="40" w:after="40"/>
            </w:pPr>
            <w:r>
              <w:rPr>
                <w:sz w:val="19"/>
              </w:rPr>
              <w:t>Chargement données, build features, métriques, MLflow logging</w:t>
            </w:r>
          </w:p>
        </w:tc>
      </w:tr>
      <w:tr>
        <w:tc>
          <w:tcPr>
            <w:tcW w:type="dxa" w:w="2268"/>
            <w:shd w:val="clear" w:color="auto" w:fill="F2F2F2"/>
          </w:tcPr>
          <w:p>
            <w:pPr>
              <w:spacing w:before="40" w:after="40"/>
            </w:pPr>
            <w:r>
              <w:rPr>
                <w:sz w:val="19"/>
              </w:rPr>
              <w:t>test_train_prophet.py</w:t>
            </w:r>
          </w:p>
        </w:tc>
        <w:tc>
          <w:tcPr>
            <w:tcW w:type="dxa" w:w="2551"/>
            <w:shd w:val="clear" w:color="auto" w:fill="F2F2F2"/>
          </w:tcPr>
          <w:p>
            <w:pPr>
              <w:spacing w:before="40" w:after="40"/>
            </w:pPr>
            <w:r>
              <w:rPr>
                <w:sz w:val="19"/>
              </w:rPr>
              <w:t>src/ml/train_prophet.py</w:t>
            </w:r>
          </w:p>
        </w:tc>
        <w:tc>
          <w:tcPr>
            <w:tcW w:type="dxa" w:w="1020"/>
            <w:shd w:val="clear" w:color="auto" w:fill="F2F2F2"/>
          </w:tcPr>
          <w:p>
            <w:pPr>
              <w:spacing w:before="40" w:after="40"/>
            </w:pPr>
            <w:r>
              <w:rPr>
                <w:sz w:val="19"/>
              </w:rPr>
              <w:t>15</w:t>
            </w:r>
          </w:p>
        </w:tc>
        <w:tc>
          <w:tcPr>
            <w:tcW w:type="dxa" w:w="2948"/>
            <w:shd w:val="clear" w:color="auto" w:fill="F2F2F2"/>
          </w:tcPr>
          <w:p>
            <w:pPr>
              <w:spacing w:before="40" w:after="40"/>
            </w:pPr>
            <w:r>
              <w:rPr>
                <w:sz w:val="19"/>
              </w:rPr>
              <w:t>MAPE, entraînement Prophet, forecast, logging artefacts</w:t>
            </w:r>
          </w:p>
        </w:tc>
      </w:tr>
      <w:tr>
        <w:tc>
          <w:tcPr>
            <w:tcW w:type="dxa" w:w="2268"/>
            <w:shd w:val="clear" w:color="auto" w:fill="FFFFFF"/>
          </w:tcPr>
          <w:p>
            <w:pPr>
              <w:spacing w:before="40" w:after="40"/>
            </w:pPr>
            <w:r>
              <w:rPr>
                <w:sz w:val="19"/>
              </w:rPr>
              <w:t>test_simulate_data.py</w:t>
            </w:r>
          </w:p>
        </w:tc>
        <w:tc>
          <w:tcPr>
            <w:tcW w:type="dxa" w:w="2551"/>
            <w:shd w:val="clear" w:color="auto" w:fill="FFFFFF"/>
          </w:tcPr>
          <w:p>
            <w:pPr>
              <w:spacing w:before="40" w:after="40"/>
            </w:pPr>
            <w:r>
              <w:rPr>
                <w:sz w:val="19"/>
              </w:rPr>
              <w:t>src/ml/simulate_data.py</w:t>
            </w:r>
          </w:p>
        </w:tc>
        <w:tc>
          <w:tcPr>
            <w:tcW w:type="dxa" w:w="1020"/>
            <w:shd w:val="clear" w:color="auto" w:fill="FFFFFF"/>
          </w:tcPr>
          <w:p>
            <w:pPr>
              <w:spacing w:before="40" w:after="40"/>
            </w:pPr>
            <w:r>
              <w:rPr>
                <w:sz w:val="19"/>
              </w:rPr>
              <w:t>9</w:t>
            </w:r>
          </w:p>
        </w:tc>
        <w:tc>
          <w:tcPr>
            <w:tcW w:type="dxa" w:w="2948"/>
            <w:shd w:val="clear" w:color="auto" w:fill="FFFFFF"/>
          </w:tcPr>
          <w:p>
            <w:pPr>
              <w:spacing w:before="40" w:after="40"/>
            </w:pPr>
            <w:r>
              <w:rPr>
                <w:sz w:val="19"/>
              </w:rPr>
              <w:t>Génération parcelles, capteurs, rendements, idempotence</w:t>
            </w:r>
          </w:p>
        </w:tc>
      </w:tr>
    </w:tbl>
    <w:p/>
    <w:p>
      <w:pPr>
        <w:spacing w:after="120"/>
        <w:ind w:firstLine="0"/>
      </w:pPr>
      <w:r>
        <w:rPr>
          <w:sz w:val="21"/>
        </w:rPr>
        <w:t>Les tests utilisent pytest avec des mocks SQLAlchemy (engine, curseur), des mocks MLflow et un mock Prophet (sys.modules sentinel pour contourner l'absence de CmdStan en CI). La base de données de production n'est jamais contactée lors des tests unitaires.</w:t>
      </w:r>
    </w:p>
    <w:p>
      <w:r>
        <w:br w:type="page"/>
      </w:r>
    </w:p>
    <w:p>
      <w:pPr>
        <w:pStyle w:val="Heading1"/>
        <w:spacing w:before="360" w:after="160"/>
      </w:pPr>
      <w:r>
        <w:rPr>
          <w:color w:val="2E74B5"/>
          <w:sz w:val="32"/>
        </w:rPr>
        <w:t>8. Analyse des données et résultats</w:t>
      </w:r>
    </w:p>
    <w:p>
      <w:pPr>
        <w:pStyle w:val="Heading2"/>
        <w:spacing w:before="240" w:after="100"/>
      </w:pPr>
      <w:r>
        <w:rPr>
          <w:color w:val="2F75B6"/>
          <w:sz w:val="26"/>
        </w:rPr>
        <w:t>8.1 Analyse des données FAO</w:t>
      </w:r>
    </w:p>
    <w:p>
      <w:pPr>
        <w:spacing w:after="120"/>
        <w:ind w:firstLine="0"/>
      </w:pPr>
      <w:r>
        <w:rPr>
          <w:sz w:val="21"/>
        </w:rPr>
        <w:t>L'analyse du dataset FAO révèle des disparités importantes dans l'utilisation mondiale des pesticides. Les 10 premiers pays représentent plus de 75 % du volume total mondial. La Chine est le premier utilisateur mondial avec plus de 1.8 million de tonnes par an en fin de période, soit une multiplication par 6 depuis 1990.</w:t>
      </w:r>
    </w:p>
    <w:p>
      <w:pPr>
        <w:pStyle w:val="ListBullet"/>
        <w:spacing w:after="40"/>
        <w:ind w:left="283"/>
      </w:pPr>
      <w:r>
        <w:rPr>
          <w:sz w:val="21"/>
        </w:rPr>
        <w:t>Distribution très asymétrique : médiane à 1 138 t, moyenne à 20 303 t — concentration extrême dans les grands pays agricoles</w:t>
      </w:r>
    </w:p>
    <w:p>
      <w:pPr>
        <w:pStyle w:val="ListBullet"/>
        <w:spacing w:after="40"/>
        <w:ind w:left="283"/>
      </w:pPr>
      <w:r>
        <w:rPr>
          <w:sz w:val="21"/>
        </w:rPr>
        <w:t>Tendance globalement haussière sur 1990–2016, avec une accélération notable à partir de 2000 dans les pays émergents</w:t>
      </w:r>
    </w:p>
    <w:p>
      <w:pPr>
        <w:pStyle w:val="ListBullet"/>
        <w:spacing w:after="40"/>
        <w:ind w:left="283"/>
      </w:pPr>
      <w:r>
        <w:rPr>
          <w:sz w:val="21"/>
        </w:rPr>
        <w:t>Les pays européens montrent une stabilisation voire une baisse depuis les années 2000, sous effet des politiques réglementaires (PAC, plan Ecophyto en France)</w:t>
      </w:r>
    </w:p>
    <w:p>
      <w:pPr>
        <w:pStyle w:val="ListBullet"/>
        <w:spacing w:after="40"/>
        <w:ind w:left="283"/>
      </w:pPr>
      <w:r>
        <w:rPr>
          <w:sz w:val="21"/>
        </w:rPr>
        <w:t>Le CAGR 5 ans moyen est de +4.2 % sur l'ensemble du dataset, masquant de fortes disparités géographiques</w:t>
      </w:r>
    </w:p>
    <w:p>
      <w:pPr>
        <w:pStyle w:val="Heading2"/>
        <w:spacing w:before="240" w:after="100"/>
      </w:pPr>
      <w:r>
        <w:rPr>
          <w:color w:val="2F75B6"/>
          <w:sz w:val="26"/>
        </w:rPr>
        <w:t>8.2 Analyse des données de capteurs simulées</w:t>
      </w:r>
    </w:p>
    <w:p>
      <w:pPr>
        <w:spacing w:after="120"/>
        <w:ind w:firstLine="0"/>
      </w:pPr>
      <w:r>
        <w:rPr>
          <w:sz w:val="21"/>
        </w:rPr>
        <w:t>L'analyse exploratoire du dataset de capteurs et rendements met en évidence plusieurs relations agronomiquement cohérentes :</w:t>
      </w:r>
    </w:p>
    <w:p>
      <w:pPr>
        <w:pStyle w:val="ListBullet"/>
        <w:spacing w:after="40"/>
        <w:ind w:left="283"/>
      </w:pPr>
      <w:r>
        <w:rPr>
          <w:sz w:val="21"/>
        </w:rPr>
        <w:t>Effet quadratique température-rendement : optimum bien visible pour chaque culture, pénalité symétrique de part et d'autre</w:t>
      </w:r>
    </w:p>
    <w:p>
      <w:pPr>
        <w:pStyle w:val="ListBullet"/>
        <w:spacing w:after="40"/>
        <w:ind w:left="283"/>
      </w:pPr>
      <w:r>
        <w:rPr>
          <w:sz w:val="21"/>
        </w:rPr>
        <w:t>Interaction pluviométrie-rendement non-linéaire : rendement stable en zone de confort hydrique, chute brutale en dessous du seuil</w:t>
      </w:r>
    </w:p>
    <w:p>
      <w:pPr>
        <w:pStyle w:val="ListBullet"/>
        <w:spacing w:after="40"/>
        <w:ind w:left="283"/>
      </w:pPr>
      <w:r>
        <w:rPr>
          <w:sz w:val="21"/>
        </w:rPr>
        <w:t>pH : distribution centrée sur 6.5 avec des rendements plus faibles aux extrêmes (&lt; 5.5 ou &gt; 7.5)</w:t>
      </w:r>
    </w:p>
    <w:p>
      <w:pPr>
        <w:pStyle w:val="ListBullet"/>
        <w:spacing w:after="40"/>
        <w:ind w:left="283"/>
      </w:pPr>
      <w:r>
        <w:rPr>
          <w:sz w:val="21"/>
        </w:rPr>
        <w:t>Azote : relation quasi-linéaire positive dans la plage 40–220 ppm, confirmant l'effet fertilisant direct</w:t>
      </w:r>
    </w:p>
    <w:p>
      <w:pPr>
        <w:pStyle w:val="ListBullet"/>
        <w:spacing w:after="40"/>
        <w:ind w:left="283"/>
      </w:pPr>
      <w:r>
        <w:rPr>
          <w:sz w:val="21"/>
        </w:rPr>
        <w:t>Pesticides : bénéfice marginal décroissant — corrélation positive jusqu'à la dose optimale, indifférente au-delà</w:t>
      </w:r>
    </w:p>
    <w:p>
      <w:pPr>
        <w:pStyle w:val="Heading2"/>
        <w:spacing w:before="240" w:after="100"/>
      </w:pPr>
      <w:r>
        <w:rPr>
          <w:color w:val="2F75B6"/>
          <w:sz w:val="26"/>
        </w:rPr>
        <w:t>8.3 Analyse des résidus du modèle XGBoost</w:t>
      </w:r>
    </w:p>
    <w:p>
      <w:pPr>
        <w:spacing w:after="120"/>
        <w:ind w:firstLine="0"/>
      </w:pPr>
      <w:r>
        <w:rPr>
          <w:sz w:val="21"/>
        </w:rPr>
        <w:t>L'analyse des résidus sur l'ensemble du dataset (420 observations) confirme la qualité du modèle :</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1F4E79"/>
            <w:vAlign w:val="center"/>
          </w:tcPr>
          <w:p>
            <w:pPr>
              <w:spacing w:before="60" w:after="60"/>
              <w:jc w:val="center"/>
            </w:pPr>
            <w:r>
              <w:rPr>
                <w:b/>
                <w:color w:val="FFFFFF"/>
                <w:sz w:val="20"/>
              </w:rPr>
              <w:t>Diagnostic</w:t>
            </w:r>
          </w:p>
        </w:tc>
        <w:tc>
          <w:tcPr>
            <w:tcW w:type="dxa" w:w="1984"/>
            <w:shd w:val="clear" w:color="auto" w:fill="1F4E79"/>
            <w:vAlign w:val="center"/>
          </w:tcPr>
          <w:p>
            <w:pPr>
              <w:spacing w:before="60" w:after="60"/>
              <w:jc w:val="center"/>
            </w:pPr>
            <w:r>
              <w:rPr>
                <w:b/>
                <w:color w:val="FFFFFF"/>
                <w:sz w:val="20"/>
              </w:rPr>
              <w:t>Résultat</w:t>
            </w:r>
          </w:p>
        </w:tc>
        <w:tc>
          <w:tcPr>
            <w:tcW w:type="dxa" w:w="4819"/>
            <w:shd w:val="clear" w:color="auto" w:fill="1F4E79"/>
            <w:vAlign w:val="center"/>
          </w:tcPr>
          <w:p>
            <w:pPr>
              <w:spacing w:before="60" w:after="60"/>
              <w:jc w:val="center"/>
            </w:pPr>
            <w:r>
              <w:rPr>
                <w:b/>
                <w:color w:val="FFFFFF"/>
                <w:sz w:val="20"/>
              </w:rPr>
              <w:t>Interprétation</w:t>
            </w:r>
          </w:p>
        </w:tc>
      </w:tr>
      <w:tr>
        <w:tc>
          <w:tcPr>
            <w:tcW w:type="dxa" w:w="1984"/>
            <w:shd w:val="clear" w:color="auto" w:fill="F2F2F2"/>
          </w:tcPr>
          <w:p>
            <w:pPr>
              <w:spacing w:before="40" w:after="40"/>
            </w:pPr>
            <w:r>
              <w:rPr>
                <w:sz w:val="19"/>
              </w:rPr>
              <w:t>Biais moyen</w:t>
            </w:r>
          </w:p>
        </w:tc>
        <w:tc>
          <w:tcPr>
            <w:tcW w:type="dxa" w:w="1984"/>
            <w:shd w:val="clear" w:color="auto" w:fill="F2F2F2"/>
          </w:tcPr>
          <w:p>
            <w:pPr>
              <w:spacing w:before="40" w:after="40"/>
            </w:pPr>
            <w:r>
              <w:rPr>
                <w:sz w:val="19"/>
              </w:rPr>
              <w:t>≈ 0.000 t/ha</w:t>
            </w:r>
          </w:p>
        </w:tc>
        <w:tc>
          <w:tcPr>
            <w:tcW w:type="dxa" w:w="4819"/>
            <w:shd w:val="clear" w:color="auto" w:fill="F2F2F2"/>
          </w:tcPr>
          <w:p>
            <w:pPr>
              <w:spacing w:before="40" w:after="40"/>
            </w:pPr>
            <w:r>
              <w:rPr>
                <w:sz w:val="19"/>
              </w:rPr>
              <w:t>Absence de biais systématique — prédicteur non biaisé</w:t>
            </w:r>
          </w:p>
        </w:tc>
      </w:tr>
      <w:tr>
        <w:tc>
          <w:tcPr>
            <w:tcW w:type="dxa" w:w="1984"/>
            <w:shd w:val="clear" w:color="auto" w:fill="FFFFFF"/>
          </w:tcPr>
          <w:p>
            <w:pPr>
              <w:spacing w:before="40" w:after="40"/>
            </w:pPr>
            <w:r>
              <w:rPr>
                <w:sz w:val="19"/>
              </w:rPr>
              <w:t>Distribution résidus</w:t>
            </w:r>
          </w:p>
        </w:tc>
        <w:tc>
          <w:tcPr>
            <w:tcW w:type="dxa" w:w="1984"/>
            <w:shd w:val="clear" w:color="auto" w:fill="FFFFFF"/>
          </w:tcPr>
          <w:p>
            <w:pPr>
              <w:spacing w:before="40" w:after="40"/>
            </w:pPr>
            <w:r>
              <w:rPr>
                <w:sz w:val="19"/>
              </w:rPr>
              <w:t>Normale (Q-Q linéaire)</w:t>
            </w:r>
          </w:p>
        </w:tc>
        <w:tc>
          <w:tcPr>
            <w:tcW w:type="dxa" w:w="4819"/>
            <w:shd w:val="clear" w:color="auto" w:fill="FFFFFF"/>
          </w:tcPr>
          <w:p>
            <w:pPr>
              <w:spacing w:before="40" w:after="40"/>
            </w:pPr>
            <w:r>
              <w:rPr>
                <w:sz w:val="19"/>
              </w:rPr>
              <w:t>Hypothèse gaussienne des résidus vérifiée</w:t>
            </w:r>
          </w:p>
        </w:tc>
      </w:tr>
      <w:tr>
        <w:tc>
          <w:tcPr>
            <w:tcW w:type="dxa" w:w="1984"/>
            <w:shd w:val="clear" w:color="auto" w:fill="F2F2F2"/>
          </w:tcPr>
          <w:p>
            <w:pPr>
              <w:spacing w:before="40" w:after="40"/>
            </w:pPr>
            <w:r>
              <w:rPr>
                <w:sz w:val="19"/>
              </w:rPr>
              <w:t>Hétéroscédasticité</w:t>
            </w:r>
          </w:p>
        </w:tc>
        <w:tc>
          <w:tcPr>
            <w:tcW w:type="dxa" w:w="1984"/>
            <w:shd w:val="clear" w:color="auto" w:fill="F2F2F2"/>
          </w:tcPr>
          <w:p>
            <w:pPr>
              <w:spacing w:before="40" w:after="40"/>
            </w:pPr>
            <w:r>
              <w:rPr>
                <w:sz w:val="19"/>
              </w:rPr>
              <w:t>Faible</w:t>
            </w:r>
          </w:p>
        </w:tc>
        <w:tc>
          <w:tcPr>
            <w:tcW w:type="dxa" w:w="4819"/>
            <w:shd w:val="clear" w:color="auto" w:fill="F2F2F2"/>
          </w:tcPr>
          <w:p>
            <w:pPr>
              <w:spacing w:before="40" w:after="40"/>
            </w:pPr>
            <w:r>
              <w:rPr>
                <w:sz w:val="19"/>
              </w:rPr>
              <w:t>Variance des résidus stable à travers les prédictions</w:t>
            </w:r>
          </w:p>
        </w:tc>
      </w:tr>
      <w:tr>
        <w:tc>
          <w:tcPr>
            <w:tcW w:type="dxa" w:w="1984"/>
            <w:shd w:val="clear" w:color="auto" w:fill="FFFFFF"/>
          </w:tcPr>
          <w:p>
            <w:pPr>
              <w:spacing w:before="40" w:after="40"/>
            </w:pPr>
            <w:r>
              <w:rPr>
                <w:sz w:val="19"/>
              </w:rPr>
              <w:t>Culture la plus difficile</w:t>
            </w:r>
          </w:p>
        </w:tc>
        <w:tc>
          <w:tcPr>
            <w:tcW w:type="dxa" w:w="1984"/>
            <w:shd w:val="clear" w:color="auto" w:fill="FFFFFF"/>
          </w:tcPr>
          <w:p>
            <w:pPr>
              <w:spacing w:before="40" w:after="40"/>
            </w:pPr>
            <w:r>
              <w:rPr>
                <w:sz w:val="19"/>
              </w:rPr>
              <w:t>Riz (σ résidu +30 %)</w:t>
            </w:r>
          </w:p>
        </w:tc>
        <w:tc>
          <w:tcPr>
            <w:tcW w:type="dxa" w:w="4819"/>
            <w:shd w:val="clear" w:color="auto" w:fill="FFFFFF"/>
          </w:tcPr>
          <w:p>
            <w:pPr>
              <w:spacing w:before="40" w:after="40"/>
            </w:pPr>
            <w:r>
              <w:rPr>
                <w:sz w:val="19"/>
              </w:rPr>
              <w:t>Forte sensibilité aux conditions hydriques précises</w:t>
            </w:r>
          </w:p>
        </w:tc>
      </w:tr>
      <w:tr>
        <w:tc>
          <w:tcPr>
            <w:tcW w:type="dxa" w:w="1984"/>
            <w:shd w:val="clear" w:color="auto" w:fill="F2F2F2"/>
          </w:tcPr>
          <w:p>
            <w:pPr>
              <w:spacing w:before="40" w:after="40"/>
            </w:pPr>
            <w:r>
              <w:rPr>
                <w:sz w:val="19"/>
              </w:rPr>
              <w:t>Biais temporel</w:t>
            </w:r>
          </w:p>
        </w:tc>
        <w:tc>
          <w:tcPr>
            <w:tcW w:type="dxa" w:w="1984"/>
            <w:shd w:val="clear" w:color="auto" w:fill="F2F2F2"/>
          </w:tcPr>
          <w:p>
            <w:pPr>
              <w:spacing w:before="40" w:after="40"/>
            </w:pPr>
            <w:r>
              <w:rPr>
                <w:sz w:val="19"/>
              </w:rPr>
              <w:t>Nul</w:t>
            </w:r>
          </w:p>
        </w:tc>
        <w:tc>
          <w:tcPr>
            <w:tcW w:type="dxa" w:w="4819"/>
            <w:shd w:val="clear" w:color="auto" w:fill="F2F2F2"/>
          </w:tcPr>
          <w:p>
            <w:pPr>
              <w:spacing w:before="40" w:after="40"/>
            </w:pPr>
            <w:r>
              <w:rPr>
                <w:sz w:val="19"/>
              </w:rPr>
              <w:t>Pas de dérive des performances dans le temps</w:t>
            </w:r>
          </w:p>
        </w:tc>
      </w:tr>
    </w:tbl>
    <w:p/>
    <w:p>
      <w:pPr>
        <w:pStyle w:val="Heading2"/>
        <w:spacing w:before="240" w:after="100"/>
      </w:pPr>
      <w:r>
        <w:rPr>
          <w:color w:val="2F75B6"/>
          <w:sz w:val="26"/>
        </w:rPr>
        <w:t>8.4 Recommandation irrigation</w:t>
      </w:r>
    </w:p>
    <w:p>
      <w:pPr>
        <w:spacing w:after="120"/>
        <w:ind w:firstLine="0"/>
      </w:pPr>
      <w:r>
        <w:rPr>
          <w:sz w:val="21"/>
        </w:rPr>
        <w:t>En complément de la prédiction de rendement, l'API calcule une recommandation d'irrigation basée sur les besoins hydriques saisonniers de chaque culture :</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val="clear" w:color="auto" w:fill="1F4E79"/>
            <w:vAlign w:val="center"/>
          </w:tcPr>
          <w:p>
            <w:pPr>
              <w:spacing w:before="60" w:after="60"/>
              <w:jc w:val="center"/>
            </w:pPr>
            <w:r>
              <w:rPr>
                <w:b/>
                <w:color w:val="FFFFFF"/>
                <w:sz w:val="20"/>
              </w:rPr>
              <w:t>Culture</w:t>
            </w:r>
          </w:p>
        </w:tc>
        <w:tc>
          <w:tcPr>
            <w:tcW w:type="dxa" w:w="2551"/>
            <w:shd w:val="clear" w:color="auto" w:fill="1F4E79"/>
            <w:vAlign w:val="center"/>
          </w:tcPr>
          <w:p>
            <w:pPr>
              <w:spacing w:before="60" w:after="60"/>
              <w:jc w:val="center"/>
            </w:pPr>
            <w:r>
              <w:rPr>
                <w:b/>
                <w:color w:val="FFFFFF"/>
                <w:sz w:val="20"/>
              </w:rPr>
              <w:t>Besoin hydrique saisonnier</w:t>
            </w:r>
          </w:p>
        </w:tc>
        <w:tc>
          <w:tcPr>
            <w:tcW w:type="dxa" w:w="4535"/>
            <w:shd w:val="clear" w:color="auto" w:fill="1F4E79"/>
            <w:vAlign w:val="center"/>
          </w:tcPr>
          <w:p>
            <w:pPr>
              <w:spacing w:before="60" w:after="60"/>
              <w:jc w:val="center"/>
            </w:pPr>
            <w:r>
              <w:rPr>
                <w:b/>
                <w:color w:val="FFFFFF"/>
                <w:sz w:val="20"/>
              </w:rPr>
              <w:t>Calcul recommandation</w:t>
            </w:r>
          </w:p>
        </w:tc>
      </w:tr>
      <w:tr>
        <w:tc>
          <w:tcPr>
            <w:tcW w:type="dxa" w:w="1701"/>
            <w:shd w:val="clear" w:color="auto" w:fill="F2F2F2"/>
          </w:tcPr>
          <w:p>
            <w:pPr>
              <w:spacing w:before="40" w:after="40"/>
            </w:pPr>
            <w:r>
              <w:rPr>
                <w:sz w:val="19"/>
              </w:rPr>
              <w:t>Maïs (corn)</w:t>
            </w:r>
          </w:p>
        </w:tc>
        <w:tc>
          <w:tcPr>
            <w:tcW w:type="dxa" w:w="2551"/>
            <w:shd w:val="clear" w:color="auto" w:fill="F2F2F2"/>
          </w:tcPr>
          <w:p>
            <w:pPr>
              <w:spacing w:before="40" w:after="40"/>
            </w:pPr>
            <w:r>
              <w:rPr>
                <w:sz w:val="19"/>
              </w:rPr>
              <w:t>650 mm</w:t>
            </w:r>
          </w:p>
        </w:tc>
        <w:tc>
          <w:tcPr>
            <w:tcW w:type="dxa" w:w="4535"/>
            <w:shd w:val="clear" w:color="auto" w:fill="F2F2F2"/>
          </w:tcPr>
          <w:p>
            <w:pPr>
              <w:spacing w:before="40" w:after="40"/>
            </w:pPr>
            <w:r>
              <w:rPr>
                <w:sz w:val="19"/>
              </w:rPr>
              <w:t>max(0, 650 - rainfall_mm) mm d'irrigation</w:t>
            </w:r>
          </w:p>
        </w:tc>
      </w:tr>
      <w:tr>
        <w:tc>
          <w:tcPr>
            <w:tcW w:type="dxa" w:w="1701"/>
            <w:shd w:val="clear" w:color="auto" w:fill="FFFFFF"/>
          </w:tcPr>
          <w:p>
            <w:pPr>
              <w:spacing w:before="40" w:after="40"/>
            </w:pPr>
            <w:r>
              <w:rPr>
                <w:sz w:val="19"/>
              </w:rPr>
              <w:t>Riz (rice)</w:t>
            </w:r>
          </w:p>
        </w:tc>
        <w:tc>
          <w:tcPr>
            <w:tcW w:type="dxa" w:w="2551"/>
            <w:shd w:val="clear" w:color="auto" w:fill="FFFFFF"/>
          </w:tcPr>
          <w:p>
            <w:pPr>
              <w:spacing w:before="40" w:after="40"/>
            </w:pPr>
            <w:r>
              <w:rPr>
                <w:sz w:val="19"/>
              </w:rPr>
              <w:t>1 200 mm</w:t>
            </w:r>
          </w:p>
        </w:tc>
        <w:tc>
          <w:tcPr>
            <w:tcW w:type="dxa" w:w="4535"/>
            <w:shd w:val="clear" w:color="auto" w:fill="FFFFFF"/>
          </w:tcPr>
          <w:p>
            <w:pPr>
              <w:spacing w:before="40" w:after="40"/>
            </w:pPr>
            <w:r>
              <w:rPr>
                <w:sz w:val="19"/>
              </w:rPr>
              <w:t>max(0, 1200 - rainfall_mm)</w:t>
            </w:r>
          </w:p>
        </w:tc>
      </w:tr>
      <w:tr>
        <w:tc>
          <w:tcPr>
            <w:tcW w:type="dxa" w:w="1701"/>
            <w:shd w:val="clear" w:color="auto" w:fill="F2F2F2"/>
          </w:tcPr>
          <w:p>
            <w:pPr>
              <w:spacing w:before="40" w:after="40"/>
            </w:pPr>
            <w:r>
              <w:rPr>
                <w:sz w:val="19"/>
              </w:rPr>
              <w:t>Soja (soybean)</w:t>
            </w:r>
          </w:p>
        </w:tc>
        <w:tc>
          <w:tcPr>
            <w:tcW w:type="dxa" w:w="2551"/>
            <w:shd w:val="clear" w:color="auto" w:fill="F2F2F2"/>
          </w:tcPr>
          <w:p>
            <w:pPr>
              <w:spacing w:before="40" w:after="40"/>
            </w:pPr>
            <w:r>
              <w:rPr>
                <w:sz w:val="19"/>
              </w:rPr>
              <w:t>700 mm</w:t>
            </w:r>
          </w:p>
        </w:tc>
        <w:tc>
          <w:tcPr>
            <w:tcW w:type="dxa" w:w="4535"/>
            <w:shd w:val="clear" w:color="auto" w:fill="F2F2F2"/>
          </w:tcPr>
          <w:p>
            <w:pPr>
              <w:spacing w:before="40" w:after="40"/>
            </w:pPr>
            <w:r>
              <w:rPr>
                <w:sz w:val="19"/>
              </w:rPr>
              <w:t>max(0, 700 - rainfall_mm)</w:t>
            </w:r>
          </w:p>
        </w:tc>
      </w:tr>
      <w:tr>
        <w:tc>
          <w:tcPr>
            <w:tcW w:type="dxa" w:w="1701"/>
            <w:shd w:val="clear" w:color="auto" w:fill="FFFFFF"/>
          </w:tcPr>
          <w:p>
            <w:pPr>
              <w:spacing w:before="40" w:after="40"/>
            </w:pPr>
            <w:r>
              <w:rPr>
                <w:sz w:val="19"/>
              </w:rPr>
              <w:t>Tournesol</w:t>
            </w:r>
          </w:p>
        </w:tc>
        <w:tc>
          <w:tcPr>
            <w:tcW w:type="dxa" w:w="2551"/>
            <w:shd w:val="clear" w:color="auto" w:fill="FFFFFF"/>
          </w:tcPr>
          <w:p>
            <w:pPr>
              <w:spacing w:before="40" w:after="40"/>
            </w:pPr>
            <w:r>
              <w:rPr>
                <w:sz w:val="19"/>
              </w:rPr>
              <w:t>450 mm</w:t>
            </w:r>
          </w:p>
        </w:tc>
        <w:tc>
          <w:tcPr>
            <w:tcW w:type="dxa" w:w="4535"/>
            <w:shd w:val="clear" w:color="auto" w:fill="FFFFFF"/>
          </w:tcPr>
          <w:p>
            <w:pPr>
              <w:spacing w:before="40" w:after="40"/>
            </w:pPr>
            <w:r>
              <w:rPr>
                <w:sz w:val="19"/>
              </w:rPr>
              <w:t>max(0, 450 - rainfall_mm)</w:t>
            </w:r>
          </w:p>
        </w:tc>
      </w:tr>
      <w:tr>
        <w:tc>
          <w:tcPr>
            <w:tcW w:type="dxa" w:w="1701"/>
            <w:shd w:val="clear" w:color="auto" w:fill="F2F2F2"/>
          </w:tcPr>
          <w:p>
            <w:pPr>
              <w:spacing w:before="40" w:after="40"/>
            </w:pPr>
            <w:r>
              <w:rPr>
                <w:sz w:val="19"/>
              </w:rPr>
              <w:t>Blé (wheat)</w:t>
            </w:r>
          </w:p>
        </w:tc>
        <w:tc>
          <w:tcPr>
            <w:tcW w:type="dxa" w:w="2551"/>
            <w:shd w:val="clear" w:color="auto" w:fill="F2F2F2"/>
          </w:tcPr>
          <w:p>
            <w:pPr>
              <w:spacing w:before="40" w:after="40"/>
            </w:pPr>
            <w:r>
              <w:rPr>
                <w:sz w:val="19"/>
              </w:rPr>
              <w:t>500 mm</w:t>
            </w:r>
          </w:p>
        </w:tc>
        <w:tc>
          <w:tcPr>
            <w:tcW w:type="dxa" w:w="4535"/>
            <w:shd w:val="clear" w:color="auto" w:fill="F2F2F2"/>
          </w:tcPr>
          <w:p>
            <w:pPr>
              <w:spacing w:before="40" w:after="40"/>
            </w:pPr>
            <w:r>
              <w:rPr>
                <w:sz w:val="19"/>
              </w:rPr>
              <w:t>max(0, 500 - rainfall_mm)</w:t>
            </w:r>
          </w:p>
        </w:tc>
      </w:tr>
    </w:tbl>
    <w:p/>
    <w:p>
      <w:r>
        <w:br w:type="page"/>
      </w:r>
    </w:p>
    <w:p>
      <w:pPr>
        <w:pStyle w:val="Heading1"/>
        <w:spacing w:before="360" w:after="160"/>
      </w:pPr>
      <w:r>
        <w:rPr>
          <w:color w:val="2E74B5"/>
          <w:sz w:val="32"/>
        </w:rPr>
        <w:t>9. Difficultés rencontrées et solutions apportées</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1F4E79"/>
            <w:vAlign w:val="center"/>
          </w:tcPr>
          <w:p>
            <w:pPr>
              <w:spacing w:before="60" w:after="60"/>
              <w:jc w:val="center"/>
            </w:pPr>
            <w:r>
              <w:rPr>
                <w:b/>
                <w:color w:val="FFFFFF"/>
                <w:sz w:val="20"/>
              </w:rPr>
              <w:t>Problème</w:t>
            </w:r>
          </w:p>
        </w:tc>
        <w:tc>
          <w:tcPr>
            <w:tcW w:type="dxa" w:w="3118"/>
            <w:shd w:val="clear" w:color="auto" w:fill="1F4E79"/>
            <w:vAlign w:val="center"/>
          </w:tcPr>
          <w:p>
            <w:pPr>
              <w:spacing w:before="60" w:after="60"/>
              <w:jc w:val="center"/>
            </w:pPr>
            <w:r>
              <w:rPr>
                <w:b/>
                <w:color w:val="FFFFFF"/>
                <w:sz w:val="20"/>
              </w:rPr>
              <w:t>Cause</w:t>
            </w:r>
          </w:p>
        </w:tc>
        <w:tc>
          <w:tcPr>
            <w:tcW w:type="dxa" w:w="3685"/>
            <w:shd w:val="clear" w:color="auto" w:fill="1F4E79"/>
            <w:vAlign w:val="center"/>
          </w:tcPr>
          <w:p>
            <w:pPr>
              <w:spacing w:before="60" w:after="60"/>
              <w:jc w:val="center"/>
            </w:pPr>
            <w:r>
              <w:rPr>
                <w:b/>
                <w:color w:val="FFFFFF"/>
                <w:sz w:val="20"/>
              </w:rPr>
              <w:t>Solution</w:t>
            </w:r>
          </w:p>
        </w:tc>
      </w:tr>
      <w:tr>
        <w:tc>
          <w:tcPr>
            <w:tcW w:type="dxa" w:w="1984"/>
            <w:shd w:val="clear" w:color="auto" w:fill="F2F2F2"/>
          </w:tcPr>
          <w:p>
            <w:pPr>
              <w:spacing w:before="40" w:after="40"/>
            </w:pPr>
            <w:r>
              <w:rPr>
                <w:sz w:val="19"/>
              </w:rPr>
              <w:t>psycopg2.ProgrammingError — DSN invalide</w:t>
            </w:r>
          </w:p>
        </w:tc>
        <w:tc>
          <w:tcPr>
            <w:tcW w:type="dxa" w:w="3118"/>
            <w:shd w:val="clear" w:color="auto" w:fill="F2F2F2"/>
          </w:tcPr>
          <w:p>
            <w:pPr>
              <w:spacing w:before="40" w:after="40"/>
            </w:pPr>
            <w:r>
              <w:rPr>
                <w:sz w:val="19"/>
              </w:rPr>
              <w:t>simulate_data.py passait l'URL SQLAlchemy (postgresql+psycopg2://) directement à psycopg2.connect() qui ne reconnaît pas le préfixe de dialecte</w:t>
            </w:r>
          </w:p>
        </w:tc>
        <w:tc>
          <w:tcPr>
            <w:tcW w:type="dxa" w:w="3685"/>
            <w:shd w:val="clear" w:color="auto" w:fill="F2F2F2"/>
          </w:tcPr>
          <w:p>
            <w:pPr>
              <w:spacing w:before="40" w:after="40"/>
            </w:pPr>
            <w:r>
              <w:rPr>
                <w:sz w:val="19"/>
              </w:rPr>
              <w:t>Remplacement du préfixe avant connexion : DATABASE_URL.replace('postgresql+psycopg2://', 'postgresql://')</w:t>
            </w:r>
          </w:p>
        </w:tc>
      </w:tr>
      <w:tr>
        <w:tc>
          <w:tcPr>
            <w:tcW w:type="dxa" w:w="1984"/>
            <w:shd w:val="clear" w:color="auto" w:fill="FFFFFF"/>
          </w:tcPr>
          <w:p>
            <w:pPr>
              <w:spacing w:before="40" w:after="40"/>
            </w:pPr>
            <w:r>
              <w:rPr>
                <w:sz w:val="19"/>
              </w:rPr>
              <w:t>AttributeError: Prophet has no attribute stan_backend</w:t>
            </w:r>
          </w:p>
        </w:tc>
        <w:tc>
          <w:tcPr>
            <w:tcW w:type="dxa" w:w="3118"/>
            <w:shd w:val="clear" w:color="auto" w:fill="FFFFFF"/>
          </w:tcPr>
          <w:p>
            <w:pPr>
              <w:spacing w:before="40" w:after="40"/>
            </w:pPr>
            <w:r>
              <w:rPr>
                <w:sz w:val="19"/>
              </w:rPr>
              <w:t>prophet 1.1.5 embarque cmdstan-2.33.1 sans fichier makefile. cmdstanpy ≥ 1.2 valide l'existence de ce fichier dans validate_cmdstan_path()</w:t>
            </w:r>
          </w:p>
        </w:tc>
        <w:tc>
          <w:tcPr>
            <w:tcW w:type="dxa" w:w="3685"/>
            <w:shd w:val="clear" w:color="auto" w:fill="FFFFFF"/>
          </w:tcPr>
          <w:p>
            <w:pPr>
              <w:spacing w:before="40" w:after="40"/>
            </w:pPr>
            <w:r>
              <w:rPr>
                <w:sz w:val="19"/>
              </w:rPr>
              <w:t>Création d'un fichier makefile vide dans le répertoire bundled lors du build Docker : RUN touch .../cmdstan-2.33.1/makefile</w:t>
            </w:r>
          </w:p>
        </w:tc>
      </w:tr>
      <w:tr>
        <w:tc>
          <w:tcPr>
            <w:tcW w:type="dxa" w:w="1984"/>
            <w:shd w:val="clear" w:color="auto" w:fill="F2F2F2"/>
          </w:tcPr>
          <w:p>
            <w:pPr>
              <w:spacing w:before="40" w:after="40"/>
            </w:pPr>
            <w:r>
              <w:rPr>
                <w:sz w:val="19"/>
              </w:rPr>
              <w:t>Airflow build failure — mlflow==2.14.3</w:t>
            </w:r>
          </w:p>
        </w:tc>
        <w:tc>
          <w:tcPr>
            <w:tcW w:type="dxa" w:w="3118"/>
            <w:shd w:val="clear" w:color="auto" w:fill="F2F2F2"/>
          </w:tcPr>
          <w:p>
            <w:pPr>
              <w:spacing w:before="40" w:after="40"/>
            </w:pPr>
            <w:r>
              <w:rPr>
                <w:sz w:val="19"/>
              </w:rPr>
              <w:t>Conflit de dépendances entre mlflow 2.14.3, scikit-learn 1.5.0 et xgboost 2.0.3 dans le Dockerfile Airflow</w:t>
            </w:r>
          </w:p>
        </w:tc>
        <w:tc>
          <w:tcPr>
            <w:tcW w:type="dxa" w:w="3685"/>
            <w:shd w:val="clear" w:color="auto" w:fill="F2F2F2"/>
          </w:tcPr>
          <w:p>
            <w:pPr>
              <w:spacing w:before="40" w:after="40"/>
            </w:pPr>
            <w:r>
              <w:rPr>
                <w:sz w:val="19"/>
              </w:rPr>
              <w:t>Mise à jour mlflow → 3.1.0, suppression de prophet (inutile dans Airflow, qui n'utilise que BashOperator)</w:t>
            </w:r>
          </w:p>
        </w:tc>
      </w:tr>
      <w:tr>
        <w:tc>
          <w:tcPr>
            <w:tcW w:type="dxa" w:w="1984"/>
            <w:shd w:val="clear" w:color="auto" w:fill="FFFFFF"/>
          </w:tcPr>
          <w:p>
            <w:pPr>
              <w:spacing w:before="40" w:after="40"/>
            </w:pPr>
            <w:r>
              <w:rPr>
                <w:sz w:val="19"/>
              </w:rPr>
              <w:t>XGBoostError: binary format removed in 3.1</w:t>
            </w:r>
          </w:p>
        </w:tc>
        <w:tc>
          <w:tcPr>
            <w:tcW w:type="dxa" w:w="3118"/>
            <w:shd w:val="clear" w:color="auto" w:fill="FFFFFF"/>
          </w:tcPr>
          <w:p>
            <w:pPr>
              <w:spacing w:before="40" w:after="40"/>
            </w:pPr>
            <w:r>
              <w:rPr>
                <w:sz w:val="19"/>
              </w:rPr>
              <w:t>Le modèle sauvegardé en format BST (legacy) par XGBoost 2.0.3 dans le conteneur n'est pas lisible par XGBoost 3.1 installé localement</w:t>
            </w:r>
          </w:p>
        </w:tc>
        <w:tc>
          <w:tcPr>
            <w:tcW w:type="dxa" w:w="3685"/>
            <w:shd w:val="clear" w:color="auto" w:fill="FFFFFF"/>
          </w:tcPr>
          <w:p>
            <w:pPr>
              <w:spacing w:before="40" w:after="40"/>
            </w:pPr>
            <w:r>
              <w:rPr>
                <w:sz w:val="19"/>
              </w:rPr>
              <w:t>Réentraînement local du modèle pour le rapport (mêmes paramètres, seed=42) — résultats identiques</w:t>
            </w:r>
          </w:p>
        </w:tc>
      </w:tr>
      <w:tr>
        <w:tc>
          <w:tcPr>
            <w:tcW w:type="dxa" w:w="1984"/>
            <w:shd w:val="clear" w:color="auto" w:fill="F2F2F2"/>
          </w:tcPr>
          <w:p>
            <w:pPr>
              <w:spacing w:before="40" w:after="40"/>
            </w:pPr>
            <w:r>
              <w:rPr>
                <w:sz w:val="19"/>
              </w:rPr>
              <w:t>Tests Prophet en CI — CmdStan absent</w:t>
            </w:r>
          </w:p>
        </w:tc>
        <w:tc>
          <w:tcPr>
            <w:tcW w:type="dxa" w:w="3118"/>
            <w:shd w:val="clear" w:color="auto" w:fill="F2F2F2"/>
          </w:tcPr>
          <w:p>
            <w:pPr>
              <w:spacing w:before="40" w:after="40"/>
            </w:pPr>
            <w:r>
              <w:rPr>
                <w:sz w:val="19"/>
              </w:rPr>
              <w:t>Le runner CI n'a pas CmdStan installé, rendant import prophet impossible</w:t>
            </w:r>
          </w:p>
        </w:tc>
        <w:tc>
          <w:tcPr>
            <w:tcW w:type="dxa" w:w="3685"/>
            <w:shd w:val="clear" w:color="auto" w:fill="F2F2F2"/>
          </w:tcPr>
          <w:p>
            <w:pPr>
              <w:spacing w:before="40" w:after="40"/>
            </w:pPr>
            <w:r>
              <w:rPr>
                <w:sz w:val="19"/>
              </w:rPr>
              <w:t>Mock au niveau sys.modules avant tout import : sys.modules.setdefault('prophet', MagicMock())</w:t>
            </w:r>
          </w:p>
        </w:tc>
      </w:tr>
    </w:tbl>
    <w:p/>
    <w:p>
      <w:r>
        <w:br w:type="page"/>
      </w:r>
    </w:p>
    <w:p>
      <w:pPr>
        <w:pStyle w:val="Heading1"/>
        <w:spacing w:before="360" w:after="160"/>
      </w:pPr>
      <w:r>
        <w:rPr>
          <w:color w:val="2E74B5"/>
          <w:sz w:val="32"/>
        </w:rPr>
        <w:t>10. Conclusion et perspectives</w:t>
      </w:r>
    </w:p>
    <w:p>
      <w:pPr>
        <w:pStyle w:val="Heading2"/>
        <w:spacing w:before="240" w:after="100"/>
      </w:pPr>
      <w:r>
        <w:rPr>
          <w:color w:val="2F75B6"/>
          <w:sz w:val="26"/>
        </w:rPr>
        <w:t>10.1 Bilan du projet</w:t>
      </w:r>
    </w:p>
    <w:p>
      <w:pPr>
        <w:spacing w:after="120"/>
        <w:ind w:firstLine="0"/>
      </w:pPr>
      <w:r>
        <w:rPr>
          <w:sz w:val="21"/>
        </w:rPr>
        <w:t>Le projet AgriTech M1INNO constitue une implémentation complète et fonctionnelle d'une plateforme MLOps dans le domaine agricole. L'ensemble des objectifs initiaux ont été atteints : pipeline de données opérationnel (Spark → PostgreSQL), deux modèles ML déployés et suivis (XGBoost R²=0.8643, Prophet MAPE=14.87 %), API REST documentée, dashboard interactif, monitoring temps réel et chaîne CI/CD automatisée.</w:t>
      </w:r>
    </w:p>
    <w:p>
      <w:pPr>
        <w:spacing w:after="120"/>
        <w:ind w:firstLine="0"/>
      </w:pPr>
      <w:r>
        <w:rPr>
          <w:sz w:val="21"/>
        </w:rPr>
        <w:t>Sur le plan technique, le projet démontre la maîtrise des composants clés d'un système MLOps moderne : gestion des versions de modèles (MLflow), orchestration de workflows (Airflow), traitement distribué (Spark), containerisation (Docker), observabilité (Prometheus/Grafana) et qualité du code (pytest, pylint, semantic-release).</w:t>
      </w:r>
    </w:p>
    <w:p>
      <w:pPr>
        <w:pStyle w:val="Heading2"/>
        <w:spacing w:before="240" w:after="100"/>
      </w:pPr>
      <w:r>
        <w:rPr>
          <w:color w:val="2F75B6"/>
          <w:sz w:val="26"/>
        </w:rPr>
        <w:t>10.2 Perspectives d'amélioration</w:t>
      </w:r>
    </w:p>
    <w:p>
      <w:pPr>
        <w:pStyle w:val="ListBullet"/>
        <w:spacing w:after="40"/>
        <w:ind w:left="283"/>
      </w:pPr>
      <w:r>
        <w:rPr>
          <w:sz w:val="21"/>
        </w:rPr>
        <w:t>Données réelles : intégrer des sources de données IoT réelles (OpenWeatherMap API, stations météo Copernicus, NDVI Sentinel-2) pour remplacer les données simulées</w:t>
      </w:r>
    </w:p>
    <w:p>
      <w:pPr>
        <w:pStyle w:val="ListBullet"/>
        <w:spacing w:after="40"/>
        <w:ind w:left="283"/>
      </w:pPr>
      <w:r>
        <w:rPr>
          <w:sz w:val="21"/>
        </w:rPr>
        <w:t>Modèles avancés : explorer LightGBM ou des modèles d'ensemble, ajouter un modèle de détection d'anomalies pour les capteurs défaillants</w:t>
      </w:r>
    </w:p>
    <w:p>
      <w:pPr>
        <w:pStyle w:val="ListBullet"/>
        <w:spacing w:after="40"/>
        <w:ind w:left="283"/>
      </w:pPr>
      <w:r>
        <w:rPr>
          <w:sz w:val="21"/>
        </w:rPr>
        <w:t>AutoML : intégrer Optuna ou Ray Tune pour l'optimisation automatique des hyperparamètres à chaque re-entraînement</w:t>
      </w:r>
    </w:p>
    <w:p>
      <w:pPr>
        <w:pStyle w:val="ListBullet"/>
        <w:spacing w:after="40"/>
        <w:ind w:left="283"/>
      </w:pPr>
      <w:r>
        <w:rPr>
          <w:sz w:val="21"/>
        </w:rPr>
        <w:t>Déploiement cloud : migration vers Kubernetes (K3s ou EKS) pour la scalabilité horizontale et la haute disponibilité</w:t>
      </w:r>
    </w:p>
    <w:p>
      <w:pPr>
        <w:pStyle w:val="ListBullet"/>
        <w:spacing w:after="40"/>
        <w:ind w:left="283"/>
      </w:pPr>
      <w:r>
        <w:rPr>
          <w:sz w:val="21"/>
        </w:rPr>
        <w:t>Feature store : introduire Feast ou Hopsworks pour la gestion centralisée des features et leur réutilisation entre modèles</w:t>
      </w:r>
    </w:p>
    <w:p>
      <w:pPr>
        <w:pStyle w:val="ListBullet"/>
        <w:spacing w:after="40"/>
        <w:ind w:left="283"/>
      </w:pPr>
      <w:r>
        <w:rPr>
          <w:sz w:val="21"/>
        </w:rPr>
        <w:t>Data versioning : intégrer DVC (Data Version Control) pour versionner les datasets et garantir la reproductibilité des expériences</w:t>
      </w:r>
    </w:p>
    <w:p>
      <w:pPr>
        <w:pStyle w:val="ListBullet"/>
        <w:spacing w:after="40"/>
        <w:ind w:left="283"/>
      </w:pPr>
      <w:r>
        <w:rPr>
          <w:sz w:val="21"/>
        </w:rPr>
        <w:t>Explicabilité étendue : déployer un endpoint SHAP en production pour les explications au niveau d'une prédiction individuelle</w:t>
      </w:r>
    </w:p>
    <w:p>
      <w:pPr>
        <w:pStyle w:val="ListBullet"/>
        <w:spacing w:after="40"/>
        <w:ind w:left="283"/>
      </w:pPr>
      <w:r>
        <w:rPr>
          <w:sz w:val="21"/>
        </w:rPr>
        <w:t>Alerting : configurer des alertes Grafana/PagerDuty pour les dérives de performance du modèle (data drift, concept drift)</w:t>
      </w:r>
    </w:p>
    <w:p>
      <w:pPr>
        <w:pStyle w:val="Heading2"/>
        <w:spacing w:before="240" w:after="100"/>
      </w:pPr>
      <w:r>
        <w:rPr>
          <w:color w:val="2F75B6"/>
          <w:sz w:val="26"/>
        </w:rPr>
        <w:t>10.3 Conclusion</w:t>
      </w:r>
    </w:p>
    <w:p>
      <w:pPr>
        <w:spacing w:after="120"/>
        <w:ind w:firstLine="0"/>
      </w:pPr>
      <w:r>
        <w:rPr>
          <w:sz w:val="21"/>
        </w:rPr>
        <w:t>Ce projet illustre concrètement comment les technologies MLOps permettent de transformer une problématique métier (prédiction de rendements agricoles) en un service logiciel industrialisé, maintenable et évolutif. La combinaison de données réelles (FAO) et de modélisation réaliste des processus agronomiques donne au projet une dimension applicative concrète, au-delà de la démonstration technique.</w:t>
      </w:r>
    </w:p>
    <w:p>
      <w:pPr>
        <w:spacing w:after="120"/>
        <w:ind w:firstLine="0"/>
      </w:pPr>
      <w:r>
        <w:rPr>
          <w:sz w:val="21"/>
        </w:rPr>
        <w:t>L'architecture mise en place constitue une base solide pour un système de conseil agricole à l'échelle d'une coopérative ou d'un organisme public, avec des coûts d'infrastructure limités (déployable sur un VPS standard) et une capacité de montée en charge éprouvée par les composants choisis (Spark, PostgreSQL, FastAPI, Kubernetes-ready).</w:t>
      </w:r>
    </w:p>
    <w:p>
      <w:pPr>
        <w:pBdr>
          <w:left w:val="single" w:sz="12" w:space="4" w:color="2E74B5"/>
        </w:pBdr>
        <w:pBdr>
          <w:right w:val="single" w:sz="12" w:space="4" w:color="2E74B5"/>
        </w:pBdr>
        <w:pBdr>
          <w:top w:val="single" w:sz="12" w:space="4" w:color="2E74B5"/>
        </w:pBdr>
        <w:pBdr>
          <w:bottom w:val="single" w:sz="12" w:space="4" w:color="2E74B5"/>
        </w:pBdr>
        <w:spacing w:before="80" w:after="160"/>
        <w:ind w:left="227" w:right="227"/>
      </w:pPr>
      <w:r>
        <w:rPr>
          <w:i/>
          <w:color w:val="2E74B5"/>
          <w:sz w:val="20"/>
        </w:rPr>
        <w:t>💻  Code source disponible sur GitHub — architecture Docker Compose complète démarrable en une commande : make setup</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